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DA1" w:rsidRPr="00B16DA1" w:rsidRDefault="00B16DA1" w:rsidP="00B16DA1">
      <w:pPr>
        <w:spacing w:before="450" w:after="450" w:line="240" w:lineRule="auto"/>
        <w:outlineLvl w:val="0"/>
        <w:rPr>
          <w:rFonts w:ascii="Roboto" w:eastAsia="Times New Roman" w:hAnsi="Roboto" w:cs="Times New Roman"/>
          <w:kern w:val="36"/>
          <w:sz w:val="48"/>
          <w:szCs w:val="48"/>
          <w:lang w:eastAsia="ru-RU"/>
        </w:rPr>
      </w:pPr>
      <w:r w:rsidRPr="00B16DA1">
        <w:rPr>
          <w:rFonts w:ascii="Roboto" w:eastAsia="Times New Roman" w:hAnsi="Roboto" w:cs="Times New Roman"/>
          <w:kern w:val="36"/>
          <w:sz w:val="48"/>
          <w:szCs w:val="48"/>
          <w:lang w:eastAsia="ru-RU"/>
        </w:rPr>
        <w:t>Інформація щодо захисту викривачів у судах</w:t>
      </w:r>
    </w:p>
    <w:p w:rsidR="00B16DA1" w:rsidRPr="00B16DA1" w:rsidRDefault="00B16DA1" w:rsidP="00B16DA1">
      <w:pPr>
        <w:spacing w:after="0" w:line="240" w:lineRule="auto"/>
        <w:rPr>
          <w:rFonts w:ascii="Times New Roman" w:eastAsia="Times New Roman" w:hAnsi="Times New Roman" w:cs="Times New Roman"/>
          <w:i/>
          <w:iCs/>
          <w:sz w:val="24"/>
          <w:szCs w:val="24"/>
          <w:lang w:eastAsia="ru-RU"/>
        </w:rPr>
      </w:pPr>
      <w:r w:rsidRPr="00B16DA1">
        <w:rPr>
          <w:rFonts w:ascii="Times New Roman" w:eastAsia="Times New Roman" w:hAnsi="Times New Roman" w:cs="Times New Roman"/>
          <w:i/>
          <w:iCs/>
          <w:sz w:val="24"/>
          <w:szCs w:val="24"/>
          <w:lang w:eastAsia="ru-RU"/>
        </w:rPr>
        <w:t>        </w:t>
      </w:r>
    </w:p>
    <w:p w:rsidR="00B16DA1" w:rsidRPr="00B16DA1" w:rsidRDefault="00B16DA1" w:rsidP="00B16DA1">
      <w:pPr>
        <w:spacing w:after="600" w:line="240" w:lineRule="auto"/>
        <w:rPr>
          <w:rFonts w:ascii="Roboto" w:eastAsia="Times New Roman" w:hAnsi="Roboto" w:cs="Times New Roman"/>
          <w:color w:val="303030"/>
          <w:sz w:val="30"/>
          <w:szCs w:val="30"/>
          <w:lang w:eastAsia="ru-RU"/>
        </w:rPr>
      </w:pPr>
      <w:bookmarkStart w:id="0" w:name="_GoBack"/>
      <w:bookmarkEnd w:id="0"/>
      <w:r w:rsidRPr="00B16DA1">
        <w:rPr>
          <w:rFonts w:ascii="Roboto" w:eastAsia="Times New Roman" w:hAnsi="Roboto" w:cs="Times New Roman"/>
          <w:color w:val="303030"/>
          <w:sz w:val="30"/>
          <w:szCs w:val="30"/>
          <w:lang w:eastAsia="ru-RU"/>
        </w:rPr>
        <w:t>Відповідно до пункту 13 частини першої статті 11 Закону України «Про запобігання корупції» до повноважень Національного агентства з питань запобігання корупції належить вжиття заходів щодо правового та іншого захисту осіб, які добросовісно повідомляють про можливі факти корупційних або пов’язаних з корупцією правопорушень, інших порушень Закону України «Про запобігання корупції» (викривачів).</w:t>
      </w:r>
    </w:p>
    <w:p w:rsidR="00B16DA1" w:rsidRPr="00B16DA1" w:rsidRDefault="00B16DA1" w:rsidP="00B16DA1">
      <w:pPr>
        <w:spacing w:after="600" w:line="240" w:lineRule="auto"/>
        <w:rPr>
          <w:rFonts w:ascii="Roboto" w:eastAsia="Times New Roman" w:hAnsi="Roboto" w:cs="Times New Roman"/>
          <w:color w:val="303030"/>
          <w:sz w:val="30"/>
          <w:szCs w:val="30"/>
          <w:lang w:eastAsia="ru-RU"/>
        </w:rPr>
      </w:pPr>
      <w:r w:rsidRPr="00B16DA1">
        <w:rPr>
          <w:rFonts w:ascii="Roboto" w:eastAsia="Times New Roman" w:hAnsi="Roboto" w:cs="Times New Roman"/>
          <w:color w:val="303030"/>
          <w:sz w:val="30"/>
          <w:szCs w:val="30"/>
          <w:lang w:eastAsia="ru-RU"/>
        </w:rPr>
        <w:t>Один із інструментів для реалізації вказаного захисту – це участь Національного агентства як третьої особи, яка не заявляє самостійних вимог щодо предмета спору, на стороні позивача у справах щодо застосування керівником або роботодавцем чи створення ними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B16DA1" w:rsidRPr="00B16DA1" w:rsidRDefault="00B16DA1" w:rsidP="00B16DA1">
      <w:pPr>
        <w:spacing w:after="600" w:line="240" w:lineRule="auto"/>
        <w:rPr>
          <w:rFonts w:ascii="Roboto" w:eastAsia="Times New Roman" w:hAnsi="Roboto" w:cs="Times New Roman"/>
          <w:color w:val="303030"/>
          <w:sz w:val="30"/>
          <w:szCs w:val="30"/>
          <w:lang w:eastAsia="ru-RU"/>
        </w:rPr>
      </w:pPr>
      <w:r w:rsidRPr="00B16DA1">
        <w:rPr>
          <w:rFonts w:ascii="Roboto" w:eastAsia="Times New Roman" w:hAnsi="Roboto" w:cs="Times New Roman"/>
          <w:color w:val="303030"/>
          <w:sz w:val="30"/>
          <w:szCs w:val="30"/>
          <w:lang w:eastAsia="ru-RU"/>
        </w:rPr>
        <w:t>Можливість залучення Національного агентства до судових проваджень на стороні викривача передбачена частиною третьою статті 49 Кодексу адміністративного судочинства України та частиною другою статті 53 Цивільного процесуального кодексу України.</w:t>
      </w:r>
    </w:p>
    <w:p w:rsidR="00B16DA1" w:rsidRPr="00B16DA1" w:rsidRDefault="00B16DA1" w:rsidP="00B16DA1">
      <w:pPr>
        <w:spacing w:after="600" w:line="240" w:lineRule="auto"/>
        <w:rPr>
          <w:rFonts w:ascii="Roboto" w:eastAsia="Times New Roman" w:hAnsi="Roboto" w:cs="Times New Roman"/>
          <w:color w:val="303030"/>
          <w:sz w:val="30"/>
          <w:szCs w:val="30"/>
          <w:lang w:eastAsia="ru-RU"/>
        </w:rPr>
      </w:pPr>
      <w:r w:rsidRPr="00B16DA1">
        <w:rPr>
          <w:rFonts w:ascii="Roboto" w:eastAsia="Times New Roman" w:hAnsi="Roboto" w:cs="Times New Roman"/>
          <w:color w:val="303030"/>
          <w:sz w:val="30"/>
          <w:szCs w:val="30"/>
          <w:lang w:eastAsia="ru-RU"/>
        </w:rPr>
        <w:t>Зокрема, у 2018 році Національне агентство було залучено до 24 судових справ цивільної та адміністративної юрисдикції, які стосуються порушень трудових прав викривачів і розглядалися судами м. Києва, Дніпропетровської, Київської, Львівської, Миколаївської, Одеської, Полтавської, Рівненської, Сумської, Харківської, Хмельницької областей.</w:t>
      </w:r>
    </w:p>
    <w:p w:rsidR="00B16DA1" w:rsidRPr="00B16DA1" w:rsidRDefault="00B16DA1" w:rsidP="00B16DA1">
      <w:pPr>
        <w:spacing w:after="0" w:line="240" w:lineRule="auto"/>
        <w:rPr>
          <w:rFonts w:ascii="Roboto" w:eastAsia="Times New Roman" w:hAnsi="Roboto" w:cs="Times New Roman"/>
          <w:color w:val="303030"/>
          <w:sz w:val="30"/>
          <w:szCs w:val="30"/>
          <w:lang w:eastAsia="ru-RU"/>
        </w:rPr>
      </w:pPr>
      <w:r w:rsidRPr="00B16DA1">
        <w:rPr>
          <w:rFonts w:ascii="Roboto" w:eastAsia="Times New Roman" w:hAnsi="Roboto" w:cs="Times New Roman"/>
          <w:color w:val="303030"/>
          <w:sz w:val="30"/>
          <w:szCs w:val="30"/>
          <w:lang w:eastAsia="ru-RU"/>
        </w:rPr>
        <w:lastRenderedPageBreak/>
        <w:t>Слід зазначити, що згідно із положеннями частини другої статті 77 Кодексу адміністративного судочинства України та частини третьої статті 81 Цивільного процесуального кодексу України обов’язок щодо доказування правомірності свого рішення, дії чи бездіяльності покладено на відповідача, тобто керівника або роботодавця.</w:t>
      </w:r>
    </w:p>
    <w:p w:rsidR="009A18F6" w:rsidRDefault="009A18F6"/>
    <w:sectPr w:rsidR="009A1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56856"/>
    <w:multiLevelType w:val="multilevel"/>
    <w:tmpl w:val="E0BA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A2"/>
    <w:rsid w:val="007500A2"/>
    <w:rsid w:val="009A18F6"/>
    <w:rsid w:val="00B1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EE67D-EDF3-48FB-9A34-87A889BD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16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16D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D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16DA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1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6DA1"/>
    <w:rPr>
      <w:color w:val="0000FF"/>
      <w:u w:val="single"/>
    </w:rPr>
  </w:style>
  <w:style w:type="character" w:customStyle="1" w:styleId="element-invisible">
    <w:name w:val="element-invisible"/>
    <w:basedOn w:val="a0"/>
    <w:rsid w:val="00B16DA1"/>
  </w:style>
  <w:style w:type="paragraph" w:customStyle="1" w:styleId="rtejustify">
    <w:name w:val="rtejustify"/>
    <w:basedOn w:val="a"/>
    <w:rsid w:val="00B16D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067270">
      <w:bodyDiv w:val="1"/>
      <w:marLeft w:val="0"/>
      <w:marRight w:val="0"/>
      <w:marTop w:val="0"/>
      <w:marBottom w:val="0"/>
      <w:divBdr>
        <w:top w:val="none" w:sz="0" w:space="0" w:color="auto"/>
        <w:left w:val="none" w:sz="0" w:space="0" w:color="auto"/>
        <w:bottom w:val="none" w:sz="0" w:space="0" w:color="auto"/>
        <w:right w:val="none" w:sz="0" w:space="0" w:color="auto"/>
      </w:divBdr>
      <w:divsChild>
        <w:div w:id="1486237234">
          <w:marLeft w:val="0"/>
          <w:marRight w:val="0"/>
          <w:marTop w:val="0"/>
          <w:marBottom w:val="0"/>
          <w:divBdr>
            <w:top w:val="none" w:sz="0" w:space="0" w:color="auto"/>
            <w:left w:val="none" w:sz="0" w:space="0" w:color="auto"/>
            <w:bottom w:val="none" w:sz="0" w:space="0" w:color="auto"/>
            <w:right w:val="none" w:sz="0" w:space="0" w:color="auto"/>
          </w:divBdr>
          <w:divsChild>
            <w:div w:id="1970017337">
              <w:marLeft w:val="0"/>
              <w:marRight w:val="0"/>
              <w:marTop w:val="0"/>
              <w:marBottom w:val="0"/>
              <w:divBdr>
                <w:top w:val="none" w:sz="0" w:space="0" w:color="auto"/>
                <w:left w:val="none" w:sz="0" w:space="0" w:color="auto"/>
                <w:bottom w:val="none" w:sz="0" w:space="0" w:color="auto"/>
                <w:right w:val="none" w:sz="0" w:space="0" w:color="auto"/>
              </w:divBdr>
              <w:divsChild>
                <w:div w:id="864632766">
                  <w:marLeft w:val="0"/>
                  <w:marRight w:val="0"/>
                  <w:marTop w:val="0"/>
                  <w:marBottom w:val="0"/>
                  <w:divBdr>
                    <w:top w:val="none" w:sz="0" w:space="0" w:color="auto"/>
                    <w:left w:val="none" w:sz="0" w:space="0" w:color="auto"/>
                    <w:bottom w:val="none" w:sz="0" w:space="0" w:color="auto"/>
                    <w:right w:val="none" w:sz="0" w:space="0" w:color="auto"/>
                  </w:divBdr>
                  <w:divsChild>
                    <w:div w:id="621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9855">
          <w:marLeft w:val="0"/>
          <w:marRight w:val="0"/>
          <w:marTop w:val="0"/>
          <w:marBottom w:val="0"/>
          <w:divBdr>
            <w:top w:val="none" w:sz="0" w:space="0" w:color="auto"/>
            <w:left w:val="none" w:sz="0" w:space="0" w:color="auto"/>
            <w:bottom w:val="none" w:sz="0" w:space="0" w:color="auto"/>
            <w:right w:val="none" w:sz="0" w:space="0" w:color="auto"/>
          </w:divBdr>
          <w:divsChild>
            <w:div w:id="1015112497">
              <w:marLeft w:val="0"/>
              <w:marRight w:val="0"/>
              <w:marTop w:val="0"/>
              <w:marBottom w:val="0"/>
              <w:divBdr>
                <w:top w:val="none" w:sz="0" w:space="0" w:color="auto"/>
                <w:left w:val="none" w:sz="0" w:space="0" w:color="auto"/>
                <w:bottom w:val="none" w:sz="0" w:space="0" w:color="auto"/>
                <w:right w:val="none" w:sz="0" w:space="0" w:color="auto"/>
              </w:divBdr>
              <w:divsChild>
                <w:div w:id="1903175601">
                  <w:marLeft w:val="-225"/>
                  <w:marRight w:val="-225"/>
                  <w:marTop w:val="0"/>
                  <w:marBottom w:val="0"/>
                  <w:divBdr>
                    <w:top w:val="none" w:sz="0" w:space="0" w:color="auto"/>
                    <w:left w:val="none" w:sz="0" w:space="0" w:color="auto"/>
                    <w:bottom w:val="none" w:sz="0" w:space="0" w:color="auto"/>
                    <w:right w:val="none" w:sz="0" w:space="0" w:color="auto"/>
                  </w:divBdr>
                  <w:divsChild>
                    <w:div w:id="1689522550">
                      <w:marLeft w:val="0"/>
                      <w:marRight w:val="0"/>
                      <w:marTop w:val="0"/>
                      <w:marBottom w:val="0"/>
                      <w:divBdr>
                        <w:top w:val="none" w:sz="0" w:space="0" w:color="auto"/>
                        <w:left w:val="none" w:sz="0" w:space="0" w:color="auto"/>
                        <w:bottom w:val="none" w:sz="0" w:space="0" w:color="auto"/>
                        <w:right w:val="none" w:sz="0" w:space="0" w:color="auto"/>
                      </w:divBdr>
                      <w:divsChild>
                        <w:div w:id="1379621039">
                          <w:marLeft w:val="0"/>
                          <w:marRight w:val="0"/>
                          <w:marTop w:val="0"/>
                          <w:marBottom w:val="0"/>
                          <w:divBdr>
                            <w:top w:val="none" w:sz="0" w:space="0" w:color="auto"/>
                            <w:left w:val="none" w:sz="0" w:space="0" w:color="auto"/>
                            <w:bottom w:val="none" w:sz="0" w:space="0" w:color="auto"/>
                            <w:right w:val="none" w:sz="0" w:space="0" w:color="auto"/>
                          </w:divBdr>
                          <w:divsChild>
                            <w:div w:id="199436777">
                              <w:marLeft w:val="0"/>
                              <w:marRight w:val="0"/>
                              <w:marTop w:val="0"/>
                              <w:marBottom w:val="0"/>
                              <w:divBdr>
                                <w:top w:val="none" w:sz="0" w:space="0" w:color="auto"/>
                                <w:left w:val="none" w:sz="0" w:space="0" w:color="auto"/>
                                <w:bottom w:val="none" w:sz="0" w:space="0" w:color="auto"/>
                                <w:right w:val="none" w:sz="0" w:space="0" w:color="auto"/>
                              </w:divBdr>
                              <w:divsChild>
                                <w:div w:id="1362366108">
                                  <w:marLeft w:val="0"/>
                                  <w:marRight w:val="0"/>
                                  <w:marTop w:val="0"/>
                                  <w:marBottom w:val="0"/>
                                  <w:divBdr>
                                    <w:top w:val="none" w:sz="0" w:space="0" w:color="auto"/>
                                    <w:left w:val="none" w:sz="0" w:space="0" w:color="auto"/>
                                    <w:bottom w:val="none" w:sz="0" w:space="0" w:color="auto"/>
                                    <w:right w:val="none" w:sz="0" w:space="0" w:color="auto"/>
                                  </w:divBdr>
                                  <w:divsChild>
                                    <w:div w:id="18513554">
                                      <w:marLeft w:val="0"/>
                                      <w:marRight w:val="0"/>
                                      <w:marTop w:val="0"/>
                                      <w:marBottom w:val="0"/>
                                      <w:divBdr>
                                        <w:top w:val="none" w:sz="0" w:space="0" w:color="auto"/>
                                        <w:left w:val="none" w:sz="0" w:space="0" w:color="auto"/>
                                        <w:bottom w:val="none" w:sz="0" w:space="0" w:color="auto"/>
                                        <w:right w:val="none" w:sz="0" w:space="0" w:color="auto"/>
                                      </w:divBdr>
                                      <w:divsChild>
                                        <w:div w:id="19171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Панчишак Романа Андріївна</dc:creator>
  <cp:keywords/>
  <dc:description/>
  <cp:lastModifiedBy>Панчишак Романа Андріївна</cp:lastModifiedBy>
  <cp:revision>2</cp:revision>
  <dcterms:created xsi:type="dcterms:W3CDTF">2019-04-23T09:18:00Z</dcterms:created>
  <dcterms:modified xsi:type="dcterms:W3CDTF">2019-04-23T09:18:00Z</dcterms:modified>
</cp:coreProperties>
</file>