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27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E179B" w:rsidRPr="00637B50" w:rsidRDefault="00440E66" w:rsidP="005C0327">
      <w:pPr>
        <w:ind w:left="9203"/>
        <w:rPr>
          <w:sz w:val="26"/>
          <w:szCs w:val="26"/>
        </w:rPr>
      </w:pPr>
      <w:r>
        <w:rPr>
          <w:sz w:val="26"/>
          <w:szCs w:val="26"/>
        </w:rPr>
        <w:t>ЗАТВЕРДЖЕНО</w:t>
      </w:r>
    </w:p>
    <w:p w:rsidR="00920A17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>Національного агентства з питань запобігання корупції</w:t>
      </w:r>
    </w:p>
    <w:p w:rsidR="00777F3A" w:rsidRDefault="001E179B" w:rsidP="00777F3A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77F3A">
        <w:rPr>
          <w:sz w:val="26"/>
          <w:szCs w:val="26"/>
        </w:rPr>
        <w:t xml:space="preserve">                                                                             </w:t>
      </w:r>
      <w:r w:rsidR="000C6B41">
        <w:rPr>
          <w:sz w:val="26"/>
          <w:szCs w:val="26"/>
        </w:rPr>
        <w:t xml:space="preserve">   </w:t>
      </w:r>
      <w:r w:rsidR="00BB3801">
        <w:rPr>
          <w:sz w:val="26"/>
          <w:szCs w:val="26"/>
        </w:rPr>
        <w:t xml:space="preserve">  </w:t>
      </w:r>
      <w:r w:rsidR="00725405">
        <w:rPr>
          <w:sz w:val="26"/>
          <w:szCs w:val="26"/>
        </w:rPr>
        <w:t xml:space="preserve">                24.05.2019 № 72/19</w:t>
      </w:r>
    </w:p>
    <w:p w:rsidR="004860A9" w:rsidRDefault="004860A9" w:rsidP="00777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50"/>
        </w:tabs>
        <w:rPr>
          <w:sz w:val="26"/>
          <w:szCs w:val="26"/>
        </w:rPr>
      </w:pPr>
    </w:p>
    <w:p w:rsidR="00777F3A" w:rsidRPr="00D14805" w:rsidRDefault="00777F3A" w:rsidP="00777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50"/>
        </w:tabs>
        <w:rPr>
          <w:rStyle w:val="rvts15"/>
          <w:b/>
          <w:sz w:val="6"/>
          <w:szCs w:val="6"/>
        </w:rPr>
      </w:pPr>
    </w:p>
    <w:p w:rsidR="00BA04F9" w:rsidRDefault="001E179B" w:rsidP="00C67B1E">
      <w:pPr>
        <w:tabs>
          <w:tab w:val="left" w:pos="1342"/>
        </w:tabs>
        <w:jc w:val="center"/>
        <w:rPr>
          <w:rFonts w:eastAsia="Calibri"/>
          <w:b/>
          <w:szCs w:val="28"/>
          <w:lang w:eastAsia="en-US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154E45">
        <w:rPr>
          <w:rStyle w:val="rvts15"/>
          <w:b/>
          <w:szCs w:val="28"/>
        </w:rPr>
        <w:t xml:space="preserve">проведення конкурсу на </w:t>
      </w:r>
      <w:r w:rsidR="00644E64" w:rsidRPr="00154E45">
        <w:rPr>
          <w:b/>
          <w:szCs w:val="28"/>
        </w:rPr>
        <w:t>зайняття вакантної поса</w:t>
      </w:r>
      <w:r w:rsidR="003544DF" w:rsidRPr="00154E45">
        <w:rPr>
          <w:b/>
          <w:szCs w:val="28"/>
        </w:rPr>
        <w:t>ди державної служби</w:t>
      </w:r>
      <w:r w:rsidR="003544DF" w:rsidRPr="00154E45">
        <w:rPr>
          <w:b/>
          <w:szCs w:val="28"/>
        </w:rPr>
        <w:br/>
        <w:t>категорії «В</w:t>
      </w:r>
      <w:r w:rsidR="00644E64" w:rsidRPr="00154E45">
        <w:rPr>
          <w:b/>
          <w:szCs w:val="28"/>
        </w:rPr>
        <w:t>» -</w:t>
      </w:r>
      <w:r w:rsidR="00891A48" w:rsidRPr="00154E45">
        <w:rPr>
          <w:b/>
          <w:szCs w:val="28"/>
        </w:rPr>
        <w:t xml:space="preserve"> </w:t>
      </w:r>
      <w:r w:rsidR="005A2CC9">
        <w:rPr>
          <w:b/>
          <w:szCs w:val="28"/>
        </w:rPr>
        <w:t>головного</w:t>
      </w:r>
      <w:r w:rsidR="00C67B1E" w:rsidRPr="00154E45">
        <w:rPr>
          <w:b/>
          <w:szCs w:val="28"/>
        </w:rPr>
        <w:t xml:space="preserve"> спеціаліст</w:t>
      </w:r>
      <w:r w:rsidR="005A2CC9">
        <w:rPr>
          <w:b/>
          <w:szCs w:val="28"/>
        </w:rPr>
        <w:t>а</w:t>
      </w:r>
      <w:r w:rsidR="00DE08DD">
        <w:rPr>
          <w:b/>
          <w:szCs w:val="28"/>
        </w:rPr>
        <w:t xml:space="preserve"> відділу</w:t>
      </w:r>
      <w:r w:rsidR="0025144C" w:rsidRPr="00154E45">
        <w:rPr>
          <w:b/>
          <w:szCs w:val="28"/>
        </w:rPr>
        <w:t xml:space="preserve"> </w:t>
      </w:r>
      <w:r w:rsidR="003E64B3">
        <w:rPr>
          <w:rFonts w:eastAsia="Calibri"/>
          <w:b/>
          <w:szCs w:val="28"/>
          <w:lang w:eastAsia="en-US"/>
        </w:rPr>
        <w:t xml:space="preserve">нормативно-експертної роботи </w:t>
      </w:r>
      <w:r w:rsidR="003E64B3">
        <w:rPr>
          <w:rFonts w:eastAsia="Calibri"/>
          <w:b/>
          <w:szCs w:val="28"/>
          <w:lang w:eastAsia="en-US"/>
        </w:rPr>
        <w:br/>
        <w:t>Управління пр</w:t>
      </w:r>
      <w:r w:rsidR="005C0327">
        <w:rPr>
          <w:rFonts w:eastAsia="Calibri"/>
          <w:b/>
          <w:szCs w:val="28"/>
          <w:lang w:eastAsia="en-US"/>
        </w:rPr>
        <w:t xml:space="preserve">авового забезпечення </w:t>
      </w:r>
      <w:r w:rsidR="007A5C26">
        <w:rPr>
          <w:rFonts w:eastAsia="Calibri"/>
          <w:b/>
          <w:szCs w:val="28"/>
          <w:lang w:eastAsia="en-US"/>
        </w:rPr>
        <w:t xml:space="preserve">– 1 штатна посада </w:t>
      </w:r>
      <w:r w:rsidR="0032776C">
        <w:rPr>
          <w:rFonts w:eastAsia="Calibri"/>
          <w:b/>
          <w:szCs w:val="28"/>
          <w:lang w:eastAsia="en-US"/>
        </w:rPr>
        <w:t>(строкова)</w:t>
      </w:r>
    </w:p>
    <w:p w:rsidR="005C0327" w:rsidRDefault="005C0327" w:rsidP="00C67B1E">
      <w:pPr>
        <w:tabs>
          <w:tab w:val="left" w:pos="1342"/>
        </w:tabs>
        <w:jc w:val="center"/>
        <w:rPr>
          <w:b/>
          <w:szCs w:val="28"/>
        </w:rPr>
      </w:pPr>
    </w:p>
    <w:p w:rsidR="00C95EDA" w:rsidRPr="00D14805" w:rsidRDefault="00C95EDA" w:rsidP="00C67B1E">
      <w:pPr>
        <w:tabs>
          <w:tab w:val="left" w:pos="1342"/>
        </w:tabs>
        <w:jc w:val="center"/>
        <w:rPr>
          <w:rStyle w:val="rvts15"/>
          <w:b/>
          <w:sz w:val="6"/>
          <w:szCs w:val="6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0205"/>
      </w:tblGrid>
      <w:tr w:rsidR="001E179B" w:rsidTr="003E64B3">
        <w:trPr>
          <w:trHeight w:val="383"/>
        </w:trPr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AC1FC5" w:rsidTr="001078C3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AC1FC5" w:rsidRDefault="00AC1FC5" w:rsidP="00AC1FC5">
            <w:pPr>
              <w:pStyle w:val="rvps14"/>
            </w:pPr>
            <w:r>
              <w:t>Посадові обов’язки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F840D2">
              <w:rPr>
                <w:sz w:val="24"/>
              </w:rPr>
              <w:t>1) здійснення заходів з узагальнення практики застосування законодавства з питань, що відносяться до компетенції Національного агентства, підготовка пропозицій щодо його вдосконалення;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2) здійснення в межах компетенції з врахуванням пропозицій самостійних структурних підрозділів заходів щодо адаптації законодавства України в сфері запобігання та протидії корупції до законодавства Європейського Союзу;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3) безпосередня розробка та участь у розробці проектів нормативно-правових актів з питань, що належать до компетенції Національного агентства, супроводження розробки відповідних нормативно-правових актів самостійними структурними підрозділами Національного агентства;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4) проведення юридичної експертизи проектів нормативно-правових актів, підготовлених самостійними структурними підрозділами апарату Національного агентства, здійснення підготовки висновків за формою, затвердженою Міністерством юстиції України;</w:t>
            </w:r>
          </w:p>
          <w:p w:rsidR="00F840D2" w:rsidRPr="00F840D2" w:rsidRDefault="00F840D2" w:rsidP="00F840D2">
            <w:pPr>
              <w:tabs>
                <w:tab w:val="left" w:pos="851"/>
              </w:tabs>
              <w:rPr>
                <w:sz w:val="24"/>
              </w:rPr>
            </w:pPr>
            <w:r w:rsidRPr="00F840D2">
              <w:rPr>
                <w:sz w:val="24"/>
              </w:rPr>
              <w:t xml:space="preserve">5) проведення </w:t>
            </w:r>
            <w:proofErr w:type="spellStart"/>
            <w:r w:rsidRPr="00F840D2">
              <w:rPr>
                <w:sz w:val="24"/>
              </w:rPr>
              <w:t>антидискримінаційної</w:t>
            </w:r>
            <w:proofErr w:type="spellEnd"/>
            <w:r w:rsidRPr="00F840D2">
              <w:rPr>
                <w:sz w:val="24"/>
              </w:rPr>
              <w:t xml:space="preserve"> експертизи проектів нормативно-правових актів, підготовлених самостійними структурними підрозділами апарату Національного агентства, здійснення підготовки висновків за формою, затвердженою Кабінетом Міністрів України;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6) надання пропозицій керівнику відділу щодо правильного застосування законодавства в Національному агентстві;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7) перевірка на відповідність законодавству і міжнародним договорам України проектів наказів та інших нормативних актів Національного агентства, що подаються на підпис Голові Національного агентства;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lastRenderedPageBreak/>
              <w:t>8) участь у перегляді актів Національного агентства та інших документів з метою приведення їх у відповідність із законодавством; підготовка пропозицій щодо внесення до них змін і доповнень чи визнання їх такими, що втратили чинність;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9) внесення пропозицій щодо приведення у відповідність до законодавства нормативних актів у сфері запобігання та протидії корупції;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10) розгляд проектів нормативно-правових актів та інших документів, які надійшли для погодження, з питань, що належать до компетенції Національного агентства, та підготовка пропозицій до них;</w:t>
            </w:r>
          </w:p>
          <w:p w:rsidR="00F840D2" w:rsidRPr="00F840D2" w:rsidRDefault="00F840D2" w:rsidP="00F840D2">
            <w:pPr>
              <w:tabs>
                <w:tab w:val="left" w:pos="993"/>
                <w:tab w:val="left" w:pos="1134"/>
              </w:tabs>
              <w:spacing w:before="120" w:after="120" w:line="235" w:lineRule="auto"/>
              <w:rPr>
                <w:color w:val="000000" w:themeColor="text1"/>
                <w:sz w:val="24"/>
              </w:rPr>
            </w:pPr>
            <w:r w:rsidRPr="00F840D2">
              <w:rPr>
                <w:color w:val="000000" w:themeColor="text1"/>
                <w:sz w:val="24"/>
              </w:rPr>
              <w:t>11)</w:t>
            </w:r>
            <w:r w:rsidRPr="00F840D2">
              <w:rPr>
                <w:color w:val="000000" w:themeColor="text1"/>
                <w:sz w:val="24"/>
              </w:rPr>
              <w:tab/>
              <w:t>перевірка проектів договорів (контрактів) на відповідність законодавству України;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12) бере участь у розгляді пропозицій, заяв, скарг, запитів фізичних та юридичних осіб з питань, віднесених до компетенції Відділу;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13) участь у проведенні аналізу результатів господарської діяльності Національного агентства;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 xml:space="preserve">14) аналіз матеріалів, що надійшли від правоохоронних і контролюючих органів; 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15) надання роз’яснення застосування законодавства, надання правових консультацій з питань, що належать до компетенції Національного агентства;</w:t>
            </w:r>
          </w:p>
          <w:p w:rsidR="00F840D2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16) надання пропозицій щодо вжиття заходів, спрямованих на підвищення рівня правових знань працівників Національного агентства;</w:t>
            </w:r>
          </w:p>
          <w:p w:rsidR="003E64B3" w:rsidRPr="00F840D2" w:rsidRDefault="00F840D2" w:rsidP="00F840D2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F840D2">
              <w:rPr>
                <w:sz w:val="24"/>
              </w:rPr>
              <w:t>17) розгляд та участь у розгляді пропозицій, заяв, скарг, запитів фізичних та юридичних осіб, запитів на публічну інформацію, звернення народних депутатів з питань, віднесених до компетенції відділу.</w:t>
            </w:r>
          </w:p>
        </w:tc>
      </w:tr>
      <w:tr w:rsidR="00AC1FC5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AC1FC5" w:rsidRDefault="00AC1FC5" w:rsidP="00AC1FC5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Default="008E16B2" w:rsidP="00AC1FC5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10 000</w:t>
            </w:r>
            <w:r w:rsidR="00AC1FC5" w:rsidRPr="00152AAD">
              <w:rPr>
                <w:b/>
              </w:rPr>
              <w:t>,00 грн;</w:t>
            </w:r>
          </w:p>
          <w:p w:rsidR="00AC1FC5" w:rsidRPr="003D5944" w:rsidRDefault="00AC1FC5" w:rsidP="00AC1FC5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AC1FC5" w:rsidRDefault="00AC1FC5" w:rsidP="00AC1FC5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AC1FC5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AC1FC5" w:rsidRDefault="00AC1FC5" w:rsidP="00AC1FC5">
            <w:pPr>
              <w:pStyle w:val="rvps14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Pr="00E979A3" w:rsidRDefault="0032776C" w:rsidP="00216926">
            <w:pPr>
              <w:pStyle w:val="a7"/>
              <w:tabs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</w:p>
        </w:tc>
      </w:tr>
      <w:tr w:rsidR="00AC1FC5" w:rsidRPr="00503299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AC1FC5" w:rsidRPr="00503299" w:rsidRDefault="00AC1FC5" w:rsidP="00AC1FC5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1. Копія паспорта громадянина України.</w:t>
            </w:r>
          </w:p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2. Письмова</w:t>
            </w:r>
            <w:r>
              <w:rPr>
                <w:color w:val="000000" w:themeColor="text1"/>
                <w:spacing w:val="-6"/>
                <w:lang w:val="uk-UA"/>
              </w:rPr>
              <w:t xml:space="preserve"> </w:t>
            </w:r>
            <w:r w:rsidRPr="006A45AA">
              <w:rPr>
                <w:color w:val="000000" w:themeColor="text1"/>
                <w:spacing w:val="-6"/>
                <w:lang w:val="uk-UA"/>
              </w:rPr>
              <w:t>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734F45">
                <w:rPr>
                  <w:rStyle w:val="a3"/>
                  <w:color w:val="000000" w:themeColor="text1"/>
                  <w:spacing w:val="-6"/>
                  <w:u w:val="none"/>
                  <w:lang w:val="uk-UA"/>
                </w:rPr>
                <w:t>частиною</w:t>
              </w:r>
              <w:r w:rsidRPr="006A45AA">
                <w:rPr>
                  <w:rStyle w:val="a3"/>
                  <w:color w:val="000000" w:themeColor="text1"/>
                  <w:spacing w:val="-6"/>
                  <w:lang w:val="uk-UA"/>
                </w:rPr>
                <w:t xml:space="preserve"> </w:t>
              </w:r>
              <w:r w:rsidRPr="00734F45">
                <w:rPr>
                  <w:rStyle w:val="a3"/>
                  <w:color w:val="000000" w:themeColor="text1"/>
                  <w:spacing w:val="-6"/>
                  <w:u w:val="none"/>
                  <w:lang w:val="uk-UA"/>
                </w:rPr>
                <w:t>третьою</w:t>
              </w:r>
            </w:hyperlink>
            <w:r w:rsidRPr="006A45AA">
              <w:rPr>
                <w:color w:val="000000" w:themeColor="text1"/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734F45">
                <w:rPr>
                  <w:rStyle w:val="a3"/>
                  <w:color w:val="000000" w:themeColor="text1"/>
                  <w:spacing w:val="-6"/>
                  <w:u w:val="none"/>
                  <w:lang w:val="uk-UA"/>
                </w:rPr>
                <w:t>четвертою</w:t>
              </w:r>
            </w:hyperlink>
            <w:r w:rsidRPr="006A45AA">
              <w:rPr>
                <w:color w:val="000000" w:themeColor="text1"/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4. Копія (копії) документа (документів) про освіту.</w:t>
            </w:r>
          </w:p>
          <w:p w:rsidR="00AC1FC5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5. Заповнена особова картка встановленого зразка.</w:t>
            </w:r>
          </w:p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>
              <w:rPr>
                <w:color w:val="000000" w:themeColor="text1"/>
                <w:spacing w:val="-6"/>
                <w:lang w:val="uk-UA"/>
              </w:rPr>
              <w:lastRenderedPageBreak/>
              <w:t>6. Оригінал посвідчення атестації щодо вільного володіння державною мовою.</w:t>
            </w:r>
          </w:p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>
              <w:rPr>
                <w:color w:val="000000" w:themeColor="text1"/>
                <w:spacing w:val="-6"/>
                <w:lang w:val="uk-UA"/>
              </w:rPr>
              <w:t>7</w:t>
            </w:r>
            <w:r w:rsidRPr="006A45AA">
              <w:rPr>
                <w:color w:val="000000" w:themeColor="text1"/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 w:rsidR="00DE08DD">
              <w:rPr>
                <w:color w:val="000000" w:themeColor="text1"/>
                <w:spacing w:val="-6"/>
                <w:lang w:val="uk-UA"/>
              </w:rPr>
              <w:t>8</w:t>
            </w:r>
            <w:r w:rsidRPr="006A45AA">
              <w:rPr>
                <w:color w:val="000000" w:themeColor="text1"/>
                <w:spacing w:val="-6"/>
                <w:lang w:val="uk-UA"/>
              </w:rPr>
              <w:t xml:space="preserve"> рік</w:t>
            </w:r>
            <w:r>
              <w:rPr>
                <w:color w:val="000000" w:themeColor="text1"/>
                <w:spacing w:val="-6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НАЗК).</w:t>
            </w:r>
          </w:p>
          <w:p w:rsidR="00AC1FC5" w:rsidRPr="00037503" w:rsidRDefault="003E2BE8" w:rsidP="00AC1FC5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spacing w:val="-6"/>
                <w:lang w:val="uk-UA"/>
              </w:rPr>
            </w:pPr>
            <w:r>
              <w:rPr>
                <w:b/>
                <w:i/>
                <w:color w:val="000000" w:themeColor="text1"/>
                <w:spacing w:val="-6"/>
                <w:lang w:val="uk-UA"/>
              </w:rPr>
              <w:t xml:space="preserve">Документи приймаються до </w:t>
            </w:r>
            <w:r w:rsidRPr="00037503">
              <w:rPr>
                <w:b/>
                <w:i/>
                <w:spacing w:val="-6"/>
                <w:lang w:val="uk-UA"/>
              </w:rPr>
              <w:t>16</w:t>
            </w:r>
            <w:r w:rsidR="00AC1FC5" w:rsidRPr="00037503">
              <w:rPr>
                <w:b/>
                <w:i/>
                <w:spacing w:val="-6"/>
                <w:lang w:val="uk-UA"/>
              </w:rPr>
              <w:t xml:space="preserve"> год.</w:t>
            </w:r>
            <w:r w:rsidRPr="00037503">
              <w:rPr>
                <w:b/>
                <w:i/>
                <w:spacing w:val="-6"/>
                <w:lang w:val="uk-UA"/>
              </w:rPr>
              <w:t xml:space="preserve"> 45</w:t>
            </w:r>
            <w:r w:rsidR="00AC1FC5" w:rsidRPr="00037503">
              <w:rPr>
                <w:b/>
                <w:i/>
                <w:spacing w:val="-6"/>
                <w:lang w:val="uk-UA"/>
              </w:rPr>
              <w:t xml:space="preserve"> хв. </w:t>
            </w:r>
            <w:r w:rsidRPr="00037503">
              <w:rPr>
                <w:b/>
                <w:i/>
                <w:spacing w:val="-6"/>
                <w:lang w:val="uk-UA"/>
              </w:rPr>
              <w:t xml:space="preserve">14 червня </w:t>
            </w:r>
            <w:r w:rsidR="000C6B41" w:rsidRPr="00037503">
              <w:rPr>
                <w:b/>
                <w:i/>
                <w:spacing w:val="-6"/>
                <w:lang w:val="uk-UA"/>
              </w:rPr>
              <w:t>2019</w:t>
            </w:r>
            <w:r w:rsidR="00AC1FC5" w:rsidRPr="00037503">
              <w:rPr>
                <w:b/>
                <w:i/>
                <w:spacing w:val="-6"/>
                <w:lang w:val="uk-UA"/>
              </w:rPr>
              <w:t xml:space="preserve"> року.</w:t>
            </w:r>
          </w:p>
          <w:p w:rsidR="00AC1FC5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pacing w:val="-6"/>
                <w:lang w:val="uk-UA"/>
              </w:rPr>
            </w:pPr>
            <w:r w:rsidRPr="006538B1">
              <w:rPr>
                <w:b/>
                <w:i/>
                <w:color w:val="000000" w:themeColor="text1"/>
                <w:spacing w:val="-6"/>
                <w:lang w:val="uk-UA"/>
              </w:rPr>
              <w:t>за адресою: м. Київ, Дружби народів, 28 (скринька для вхідної кореспонденції при вході у приміщення).</w:t>
            </w:r>
          </w:p>
          <w:p w:rsidR="00AC1FC5" w:rsidRPr="006A45AA" w:rsidRDefault="00AC1FC5" w:rsidP="00AC1FC5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 w:themeColor="text1"/>
                <w:spacing w:val="-6"/>
                <w:lang w:val="uk-UA"/>
              </w:rPr>
            </w:pPr>
          </w:p>
        </w:tc>
      </w:tr>
      <w:tr w:rsidR="00AC1FC5" w:rsidRPr="00503299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AC1FC5" w:rsidRPr="00503299" w:rsidRDefault="00AC1FC5" w:rsidP="00AC1FC5">
            <w:pPr>
              <w:pStyle w:val="rvps14"/>
            </w:pPr>
            <w:r>
              <w:lastRenderedPageBreak/>
              <w:t>М</w:t>
            </w:r>
            <w:r w:rsidRPr="00503299">
              <w:t>ісце</w:t>
            </w:r>
            <w:r>
              <w:t>, час та дата початку</w:t>
            </w:r>
            <w:r w:rsidRPr="00503299">
              <w:t xml:space="preserve"> проведення конкурсу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FC5" w:rsidRPr="006A45AA" w:rsidRDefault="000C6B41" w:rsidP="0003750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pacing w:val="-6"/>
                <w:lang w:val="uk-UA" w:eastAsia="en-US"/>
              </w:rPr>
            </w:pPr>
            <w:r w:rsidRPr="00037503">
              <w:rPr>
                <w:spacing w:val="-6"/>
                <w:lang w:val="uk-UA" w:eastAsia="en-US"/>
              </w:rPr>
              <w:t>2</w:t>
            </w:r>
            <w:r w:rsidR="00037503" w:rsidRPr="00037503">
              <w:rPr>
                <w:spacing w:val="-6"/>
                <w:lang w:val="uk-UA" w:eastAsia="en-US"/>
              </w:rPr>
              <w:t>1</w:t>
            </w:r>
            <w:r w:rsidRPr="00037503">
              <w:rPr>
                <w:spacing w:val="-6"/>
                <w:lang w:val="uk-UA" w:eastAsia="en-US"/>
              </w:rPr>
              <w:t xml:space="preserve"> </w:t>
            </w:r>
            <w:r w:rsidR="00037503" w:rsidRPr="00037503">
              <w:rPr>
                <w:spacing w:val="-6"/>
                <w:lang w:val="uk-UA" w:eastAsia="en-US"/>
              </w:rPr>
              <w:t>червн</w:t>
            </w:r>
            <w:r w:rsidRPr="00037503">
              <w:rPr>
                <w:spacing w:val="-6"/>
                <w:lang w:val="uk-UA" w:eastAsia="en-US"/>
              </w:rPr>
              <w:t xml:space="preserve">я </w:t>
            </w:r>
            <w:r w:rsidRPr="00A52FB8">
              <w:rPr>
                <w:spacing w:val="-6"/>
                <w:lang w:val="uk-UA" w:eastAsia="en-US"/>
              </w:rPr>
              <w:t>2019</w:t>
            </w:r>
            <w:r w:rsidR="00AC1FC5" w:rsidRPr="00A52FB8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поінформовано додатково).</w:t>
            </w:r>
          </w:p>
        </w:tc>
      </w:tr>
      <w:tr w:rsidR="00AC1FC5" w:rsidRPr="00503299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AC1FC5" w:rsidRPr="00503299" w:rsidRDefault="00AC1FC5" w:rsidP="00AC1FC5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Pr="002279BE" w:rsidRDefault="00AC1FC5" w:rsidP="00AC1FC5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734F45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AC1FC5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1FC5" w:rsidRPr="00EF28D2" w:rsidRDefault="00AC1FC5" w:rsidP="00AC1FC5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AC1FC5" w:rsidRPr="00503299" w:rsidTr="00C67B1E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C1FC5" w:rsidRPr="00503299" w:rsidRDefault="00AC1FC5" w:rsidP="00AC1FC5">
            <w:pPr>
              <w:pStyle w:val="rvps12"/>
            </w:pPr>
            <w:r>
              <w:t xml:space="preserve">  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C1FC5" w:rsidRPr="00503299" w:rsidRDefault="00AC1FC5" w:rsidP="00AC1FC5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Pr="00503299" w:rsidRDefault="00AC1FC5" w:rsidP="00AC1FC5">
            <w:pPr>
              <w:pStyle w:val="rvps14"/>
            </w:pPr>
            <w:r>
              <w:t xml:space="preserve">вища освіта за освітнім ступенем не нижче бакалавра, молодшого бакалавра </w:t>
            </w:r>
            <w:r w:rsidR="005C1201">
              <w:t xml:space="preserve">в </w:t>
            </w:r>
            <w:r w:rsidR="003E64B3">
              <w:t>галузі знань «право»</w:t>
            </w:r>
          </w:p>
        </w:tc>
      </w:tr>
      <w:tr w:rsidR="00AC1FC5" w:rsidRPr="00503299" w:rsidTr="00C67B1E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C1FC5" w:rsidRPr="00503299" w:rsidRDefault="00AC1FC5" w:rsidP="00AC1FC5">
            <w:pPr>
              <w:pStyle w:val="rvps12"/>
            </w:pPr>
            <w:r>
              <w:t xml:space="preserve">  2.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C1FC5" w:rsidRPr="00503299" w:rsidRDefault="00AC1FC5" w:rsidP="00AC1FC5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Pr="00503299" w:rsidRDefault="00AC1FC5" w:rsidP="00AC1FC5">
            <w:pPr>
              <w:pStyle w:val="rvps14"/>
            </w:pPr>
            <w:r>
              <w:t xml:space="preserve">не потребує </w:t>
            </w:r>
          </w:p>
        </w:tc>
      </w:tr>
      <w:tr w:rsidR="00AC1FC5" w:rsidRPr="00503299" w:rsidTr="00C67B1E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C1FC5" w:rsidRPr="00503299" w:rsidRDefault="00AC1FC5" w:rsidP="00AC1FC5">
            <w:pPr>
              <w:pStyle w:val="rvps12"/>
            </w:pPr>
            <w:r>
              <w:t xml:space="preserve">  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C1FC5" w:rsidRPr="00503299" w:rsidRDefault="00AC1FC5" w:rsidP="00AC1FC5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AC1FC5" w:rsidRPr="00503299" w:rsidRDefault="00AC1FC5" w:rsidP="00AC1FC5">
            <w:pPr>
              <w:pStyle w:val="rvps14"/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4"/>
        <w:gridCol w:w="4177"/>
        <w:gridCol w:w="10122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6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29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395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6" w:type="pct"/>
          </w:tcPr>
          <w:p w:rsidR="00AD2A5F" w:rsidRPr="006538B1" w:rsidRDefault="006538B1" w:rsidP="00344E77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  <w:r w:rsidR="00344E77">
              <w:rPr>
                <w:color w:val="000000"/>
                <w:sz w:val="24"/>
              </w:rPr>
              <w:t>, робота з програмним забезпеченням системи «ЛІГА ЗАКОН»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6" w:type="pct"/>
          </w:tcPr>
          <w:p w:rsidR="005A6F5F" w:rsidRPr="00E12E4B" w:rsidRDefault="002B02B1" w:rsidP="002C17CE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6F5F" w:rsidRPr="00E12E4B">
              <w:rPr>
                <w:sz w:val="24"/>
              </w:rPr>
              <w:t>аналітичні здібності,</w:t>
            </w:r>
            <w:r w:rsidR="00F00B28">
              <w:rPr>
                <w:sz w:val="24"/>
              </w:rPr>
              <w:t xml:space="preserve"> лідерські якості, вміння розподіляти роботу,</w:t>
            </w:r>
            <w:r w:rsidR="005A6F5F" w:rsidRPr="00E12E4B">
              <w:rPr>
                <w:sz w:val="24"/>
              </w:rPr>
              <w:t xml:space="preserve"> виваженість, здатність концентруватись на деталях, адаптивність, вміння вести перем</w:t>
            </w:r>
            <w:r w:rsidR="009048B9">
              <w:rPr>
                <w:sz w:val="24"/>
              </w:rPr>
              <w:t>овини</w:t>
            </w:r>
            <w:r w:rsidR="005A6F5F" w:rsidRPr="00E12E4B">
              <w:rPr>
                <w:sz w:val="24"/>
              </w:rPr>
              <w:t>,</w:t>
            </w:r>
            <w:r w:rsidR="00F00B28">
              <w:rPr>
                <w:sz w:val="24"/>
              </w:rPr>
              <w:t xml:space="preserve"> організаторські здібності,</w:t>
            </w:r>
            <w:r w:rsidR="005A6F5F" w:rsidRPr="00E12E4B">
              <w:rPr>
                <w:sz w:val="24"/>
              </w:rPr>
              <w:t xml:space="preserve"> стресостійкість, вимогливість, вміння визначати пріоритети, вміння аргументовано доводити власну точку з</w:t>
            </w:r>
            <w:r w:rsidR="009048B9">
              <w:rPr>
                <w:sz w:val="24"/>
              </w:rPr>
              <w:t>ору</w:t>
            </w:r>
            <w:r w:rsidR="00514729">
              <w:rPr>
                <w:sz w:val="24"/>
              </w:rPr>
              <w:t xml:space="preserve">, </w:t>
            </w:r>
            <w:r w:rsidR="00F00B28">
              <w:rPr>
                <w:sz w:val="24"/>
              </w:rPr>
              <w:t xml:space="preserve">навички розв’язання проблем, </w:t>
            </w:r>
            <w:r w:rsidR="00514729">
              <w:rPr>
                <w:sz w:val="24"/>
              </w:rPr>
              <w:t>уміння працювати в команді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3.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6" w:type="pct"/>
          </w:tcPr>
          <w:p w:rsidR="005A6F5F" w:rsidRPr="00E12E4B" w:rsidRDefault="005A6F5F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 xml:space="preserve">ініціативність, порядність, дисциплінованість, готовність допомогти, контроль емоцій, </w:t>
            </w: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>комунікабельність, повага до інших, відповідальність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6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5E5973">
        <w:trPr>
          <w:trHeight w:val="870"/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1.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6" w:type="pct"/>
          </w:tcPr>
          <w:p w:rsidR="005A6F5F" w:rsidRPr="005C1201" w:rsidRDefault="00725405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5C120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5C1201">
              <w:rPr>
                <w:color w:val="000000"/>
                <w:sz w:val="24"/>
              </w:rPr>
              <w:t>;</w:t>
            </w:r>
          </w:p>
          <w:p w:rsidR="005A6F5F" w:rsidRPr="005C1201" w:rsidRDefault="00725405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5C120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5C1201">
              <w:rPr>
                <w:rFonts w:cs="Calibri"/>
                <w:sz w:val="24"/>
                <w:lang w:eastAsia="en-US"/>
              </w:rPr>
              <w:t>»</w:t>
            </w:r>
            <w:r w:rsidR="005A6F5F" w:rsidRPr="005C1201">
              <w:rPr>
                <w:color w:val="000000"/>
                <w:sz w:val="24"/>
              </w:rPr>
              <w:t>;</w:t>
            </w:r>
          </w:p>
          <w:p w:rsidR="005A6F5F" w:rsidRPr="005C1201" w:rsidRDefault="00725405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5C120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5C120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EF3290" w:rsidRPr="006538B1" w:rsidTr="005E5973">
        <w:trPr>
          <w:trHeight w:val="334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Цивільний кодекс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Господарський кодекс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Кримінальний кодекс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Кодекс законів про працю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Кодекс адміністративного судочинства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Цивільний процесуальний кодекс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Кодекс України про адміністративні правопорушення;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Господарський процесуальний кодекс України;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 xml:space="preserve">Кримінальний процесуальний кодекс; 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політичні партії в Україні»;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вибори Президента України»;</w:t>
            </w:r>
          </w:p>
          <w:p w:rsidR="003E64B3" w:rsidRPr="00DF0E8F" w:rsidRDefault="003E64B3" w:rsidP="00060109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DF0E8F">
              <w:rPr>
                <w:sz w:val="24"/>
              </w:rPr>
              <w:t>Закон України «Про вибори  народних депутатів України»;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місцеві вибори»;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місцеве самоврядування в Україні»;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службу в органах місцевого самоврядування»;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 xml:space="preserve">Закон України «Про очищення влади»; 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державну таємницю»;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 xml:space="preserve">Закон України «Про звернення громадян»; 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захист персональних даних»;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інформацію»;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 xml:space="preserve">Закон України «Про доступ до публічної інформації»; </w:t>
            </w:r>
          </w:p>
          <w:p w:rsidR="003E64B3" w:rsidRPr="003E64B3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Закон України «Про міжнародні договори України»;</w:t>
            </w:r>
          </w:p>
          <w:p w:rsidR="003E64B3" w:rsidRPr="002B62EA" w:rsidRDefault="003E64B3" w:rsidP="002B62EA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Регла</w:t>
            </w:r>
            <w:r w:rsidR="002B62EA">
              <w:rPr>
                <w:sz w:val="24"/>
              </w:rPr>
              <w:t xml:space="preserve">мент Кабінету Міністрів України, </w:t>
            </w:r>
            <w:r w:rsidRPr="002B62EA">
              <w:rPr>
                <w:sz w:val="24"/>
              </w:rPr>
              <w:t xml:space="preserve">затверджений постановою </w:t>
            </w:r>
            <w:r w:rsidR="00C96BF9">
              <w:rPr>
                <w:sz w:val="24"/>
              </w:rPr>
              <w:t xml:space="preserve">Кабінету Міністрів України </w:t>
            </w:r>
            <w:r w:rsidRPr="002B62EA">
              <w:rPr>
                <w:sz w:val="24"/>
              </w:rPr>
              <w:t>від 18.07.2007 №</w:t>
            </w:r>
            <w:r w:rsidR="005C0327">
              <w:rPr>
                <w:sz w:val="24"/>
              </w:rPr>
              <w:t xml:space="preserve"> </w:t>
            </w:r>
            <w:r w:rsidRPr="002B62EA">
              <w:rPr>
                <w:sz w:val="24"/>
              </w:rPr>
              <w:t>950;</w:t>
            </w:r>
          </w:p>
          <w:p w:rsidR="002478B7" w:rsidRDefault="003E64B3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 w:rsidRPr="003E64B3">
              <w:rPr>
                <w:sz w:val="24"/>
              </w:rPr>
              <w:t>Порядок подання нормативно-правових актів на державну реєстрацію до Міністерства юстиції України та проведення їх державної реєстрації, затверджений наказом Міністерства юстиції України 12.04.2005  № 34/5;</w:t>
            </w:r>
          </w:p>
          <w:p w:rsidR="005C0327" w:rsidRDefault="005C0327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06.11.2011 № 1805/5 «Про затвердження форми висновку юридичної служби міністерства, іншого центрального органу виконавчої влади та його територіальних органів, місцевих державних адміністрацій за результатами проведення юридичної експертизи проекту нормативно-правового акта»;</w:t>
            </w:r>
          </w:p>
          <w:p w:rsidR="005C0327" w:rsidRDefault="005C0327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>
              <w:rPr>
                <w:sz w:val="24"/>
              </w:rPr>
              <w:t xml:space="preserve">Постанова Кабінету Міністрів України від 30.01.2013 № 61 «Питання проведення </w:t>
            </w:r>
            <w:proofErr w:type="spellStart"/>
            <w:r>
              <w:rPr>
                <w:sz w:val="24"/>
              </w:rPr>
              <w:t>антидискримінаційної</w:t>
            </w:r>
            <w:proofErr w:type="spellEnd"/>
            <w:r>
              <w:rPr>
                <w:sz w:val="24"/>
              </w:rPr>
              <w:t xml:space="preserve"> експертизи та громадської </w:t>
            </w:r>
            <w:proofErr w:type="spellStart"/>
            <w:r>
              <w:rPr>
                <w:sz w:val="24"/>
              </w:rPr>
              <w:t>ант</w:t>
            </w:r>
            <w:r w:rsidR="00344E77">
              <w:rPr>
                <w:sz w:val="24"/>
              </w:rPr>
              <w:t>идискримінаційної</w:t>
            </w:r>
            <w:proofErr w:type="spellEnd"/>
            <w:r w:rsidR="00344E77">
              <w:rPr>
                <w:sz w:val="24"/>
              </w:rPr>
              <w:t xml:space="preserve"> експертизи проектів нормативно-правових актів»;</w:t>
            </w:r>
          </w:p>
          <w:p w:rsidR="00344E77" w:rsidRDefault="00344E77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Загальне положення про юридичну службу міністерства, іншого органу виконавчої влади, державного підприємства, установи та організації, затверджене постановою Кабінету Міністрів України від 26.11.2008 № 1040;</w:t>
            </w:r>
          </w:p>
          <w:p w:rsidR="00344E77" w:rsidRDefault="00344E77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>
              <w:rPr>
                <w:sz w:val="24"/>
              </w:rPr>
              <w:t>Регламент Національного агентства з питань запобігання корупції;</w:t>
            </w:r>
          </w:p>
          <w:p w:rsidR="00344E77" w:rsidRPr="00973754" w:rsidRDefault="00344E77" w:rsidP="003E64B3">
            <w:pPr>
              <w:pStyle w:val="ac"/>
              <w:numPr>
                <w:ilvl w:val="0"/>
                <w:numId w:val="9"/>
              </w:numPr>
              <w:tabs>
                <w:tab w:val="left" w:pos="354"/>
              </w:tabs>
              <w:rPr>
                <w:sz w:val="24"/>
              </w:rPr>
            </w:pPr>
            <w:r>
              <w:rPr>
                <w:sz w:val="24"/>
              </w:rPr>
              <w:t>Положення про апарат Національного агентства з питань запобігання корупції.</w:t>
            </w:r>
          </w:p>
        </w:tc>
      </w:tr>
      <w:tr w:rsidR="00EF3290" w:rsidRPr="006538B1" w:rsidTr="005E5973">
        <w:trPr>
          <w:trHeight w:val="465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6" w:type="pct"/>
          </w:tcPr>
          <w:p w:rsidR="00AF210A" w:rsidRDefault="0043413C" w:rsidP="008C282F">
            <w:pPr>
              <w:numPr>
                <w:ilvl w:val="0"/>
                <w:numId w:val="8"/>
              </w:numPr>
              <w:spacing w:line="276" w:lineRule="auto"/>
              <w:ind w:left="36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знання практики</w:t>
            </w:r>
            <w:r w:rsidR="00AF210A">
              <w:rPr>
                <w:bCs/>
                <w:sz w:val="24"/>
              </w:rPr>
              <w:t xml:space="preserve"> застосування Закону України «Про запобігання корупції»;</w:t>
            </w:r>
          </w:p>
          <w:p w:rsidR="00631C35" w:rsidRPr="008C282F" w:rsidRDefault="005C1201" w:rsidP="007B6D36">
            <w:pPr>
              <w:numPr>
                <w:ilvl w:val="0"/>
                <w:numId w:val="8"/>
              </w:numPr>
              <w:spacing w:line="276" w:lineRule="auto"/>
              <w:ind w:left="244" w:hanging="2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17CE">
              <w:rPr>
                <w:sz w:val="24"/>
              </w:rPr>
              <w:t xml:space="preserve">знання механізму роботи </w:t>
            </w:r>
            <w:r w:rsidR="009048B9" w:rsidRPr="00E12E4B">
              <w:rPr>
                <w:sz w:val="24"/>
              </w:rPr>
              <w:t>з правовими базами даних</w:t>
            </w:r>
            <w:r w:rsidR="00AF210A">
              <w:rPr>
                <w:sz w:val="24"/>
              </w:rPr>
              <w:t>.</w:t>
            </w:r>
          </w:p>
        </w:tc>
      </w:tr>
    </w:tbl>
    <w:p w:rsidR="00E65992" w:rsidRDefault="00E65992" w:rsidP="00D14805">
      <w:pPr>
        <w:ind w:firstLine="0"/>
        <w:jc w:val="left"/>
        <w:rPr>
          <w:bCs/>
          <w:szCs w:val="28"/>
        </w:rPr>
      </w:pPr>
    </w:p>
    <w:p w:rsidR="00344E77" w:rsidRDefault="00344E77" w:rsidP="008E16B2">
      <w:pPr>
        <w:ind w:firstLine="0"/>
        <w:jc w:val="left"/>
        <w:rPr>
          <w:b/>
          <w:bCs/>
          <w:szCs w:val="28"/>
        </w:rPr>
      </w:pPr>
      <w:bookmarkStart w:id="2" w:name="_GoBack"/>
      <w:bookmarkEnd w:id="2"/>
    </w:p>
    <w:sectPr w:rsidR="00344E77" w:rsidSect="006538B1"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354B7"/>
    <w:multiLevelType w:val="hybridMultilevel"/>
    <w:tmpl w:val="4A1E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97A"/>
    <w:multiLevelType w:val="hybridMultilevel"/>
    <w:tmpl w:val="FC8E567C"/>
    <w:lvl w:ilvl="0" w:tplc="6D7CA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015199C"/>
    <w:multiLevelType w:val="hybridMultilevel"/>
    <w:tmpl w:val="CEBEE9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0838"/>
    <w:rsid w:val="00014C39"/>
    <w:rsid w:val="0001772D"/>
    <w:rsid w:val="00025045"/>
    <w:rsid w:val="00036591"/>
    <w:rsid w:val="00037503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655D"/>
    <w:rsid w:val="000C6B41"/>
    <w:rsid w:val="000C79C3"/>
    <w:rsid w:val="000E1A18"/>
    <w:rsid w:val="000F2F2E"/>
    <w:rsid w:val="000F3E45"/>
    <w:rsid w:val="0011264E"/>
    <w:rsid w:val="0012467A"/>
    <w:rsid w:val="001262B4"/>
    <w:rsid w:val="00133098"/>
    <w:rsid w:val="0013672B"/>
    <w:rsid w:val="00152AAD"/>
    <w:rsid w:val="00154E45"/>
    <w:rsid w:val="00155035"/>
    <w:rsid w:val="00155F68"/>
    <w:rsid w:val="0016330C"/>
    <w:rsid w:val="00194E0B"/>
    <w:rsid w:val="00195B32"/>
    <w:rsid w:val="001B30D5"/>
    <w:rsid w:val="001C0FB0"/>
    <w:rsid w:val="001C6BDB"/>
    <w:rsid w:val="001D344E"/>
    <w:rsid w:val="001D6F4F"/>
    <w:rsid w:val="001E179B"/>
    <w:rsid w:val="001E3AB3"/>
    <w:rsid w:val="001F7F1D"/>
    <w:rsid w:val="00216926"/>
    <w:rsid w:val="002279BE"/>
    <w:rsid w:val="00234FE9"/>
    <w:rsid w:val="0024136B"/>
    <w:rsid w:val="002478B7"/>
    <w:rsid w:val="0025144C"/>
    <w:rsid w:val="00266096"/>
    <w:rsid w:val="00271741"/>
    <w:rsid w:val="00275EDC"/>
    <w:rsid w:val="00276D91"/>
    <w:rsid w:val="00296A1B"/>
    <w:rsid w:val="002B02B1"/>
    <w:rsid w:val="002B62EA"/>
    <w:rsid w:val="002C17CE"/>
    <w:rsid w:val="002C28FB"/>
    <w:rsid w:val="002C55F6"/>
    <w:rsid w:val="002C7DD2"/>
    <w:rsid w:val="002E2098"/>
    <w:rsid w:val="00303713"/>
    <w:rsid w:val="00317FC3"/>
    <w:rsid w:val="0032776C"/>
    <w:rsid w:val="0034438F"/>
    <w:rsid w:val="00344E77"/>
    <w:rsid w:val="00350575"/>
    <w:rsid w:val="003544DF"/>
    <w:rsid w:val="00360366"/>
    <w:rsid w:val="00362114"/>
    <w:rsid w:val="00377ABE"/>
    <w:rsid w:val="00383AA3"/>
    <w:rsid w:val="0039051A"/>
    <w:rsid w:val="00397AEA"/>
    <w:rsid w:val="003C0D58"/>
    <w:rsid w:val="003C3A83"/>
    <w:rsid w:val="003D03AF"/>
    <w:rsid w:val="003D5944"/>
    <w:rsid w:val="003E0C01"/>
    <w:rsid w:val="003E2BE8"/>
    <w:rsid w:val="003E4033"/>
    <w:rsid w:val="003E4AA9"/>
    <w:rsid w:val="003E64B3"/>
    <w:rsid w:val="003E72D1"/>
    <w:rsid w:val="003F7899"/>
    <w:rsid w:val="00403488"/>
    <w:rsid w:val="00404D1F"/>
    <w:rsid w:val="00430DBD"/>
    <w:rsid w:val="0043413C"/>
    <w:rsid w:val="00436371"/>
    <w:rsid w:val="00440E66"/>
    <w:rsid w:val="004434D8"/>
    <w:rsid w:val="00470042"/>
    <w:rsid w:val="00477942"/>
    <w:rsid w:val="00483121"/>
    <w:rsid w:val="00485BBE"/>
    <w:rsid w:val="004860A9"/>
    <w:rsid w:val="00487296"/>
    <w:rsid w:val="004A3FD6"/>
    <w:rsid w:val="004D1333"/>
    <w:rsid w:val="004D3F8A"/>
    <w:rsid w:val="004E77E6"/>
    <w:rsid w:val="004F6138"/>
    <w:rsid w:val="00510E78"/>
    <w:rsid w:val="00514729"/>
    <w:rsid w:val="00515009"/>
    <w:rsid w:val="005156E2"/>
    <w:rsid w:val="00521303"/>
    <w:rsid w:val="005225DB"/>
    <w:rsid w:val="0052384C"/>
    <w:rsid w:val="005264E3"/>
    <w:rsid w:val="00532A6C"/>
    <w:rsid w:val="00536933"/>
    <w:rsid w:val="0054236A"/>
    <w:rsid w:val="005448FF"/>
    <w:rsid w:val="0056437D"/>
    <w:rsid w:val="00591CA1"/>
    <w:rsid w:val="005A2CC9"/>
    <w:rsid w:val="005A6F5F"/>
    <w:rsid w:val="005C0327"/>
    <w:rsid w:val="005C1201"/>
    <w:rsid w:val="005C3467"/>
    <w:rsid w:val="005E0D74"/>
    <w:rsid w:val="005E221C"/>
    <w:rsid w:val="005E5973"/>
    <w:rsid w:val="005E667A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C2FC8"/>
    <w:rsid w:val="006C6E97"/>
    <w:rsid w:val="006E209A"/>
    <w:rsid w:val="0070139E"/>
    <w:rsid w:val="007019D1"/>
    <w:rsid w:val="007041B6"/>
    <w:rsid w:val="00707389"/>
    <w:rsid w:val="007153DC"/>
    <w:rsid w:val="00723CB5"/>
    <w:rsid w:val="00725405"/>
    <w:rsid w:val="00734F45"/>
    <w:rsid w:val="00760B90"/>
    <w:rsid w:val="00772EF8"/>
    <w:rsid w:val="007777C6"/>
    <w:rsid w:val="00777F3A"/>
    <w:rsid w:val="007A5C26"/>
    <w:rsid w:val="007A7CFD"/>
    <w:rsid w:val="007B6D36"/>
    <w:rsid w:val="007D030B"/>
    <w:rsid w:val="007D4C0F"/>
    <w:rsid w:val="007E48B8"/>
    <w:rsid w:val="007E78C3"/>
    <w:rsid w:val="007F1FEA"/>
    <w:rsid w:val="00801CA5"/>
    <w:rsid w:val="00802605"/>
    <w:rsid w:val="0080512A"/>
    <w:rsid w:val="0080619E"/>
    <w:rsid w:val="00810B75"/>
    <w:rsid w:val="0082025A"/>
    <w:rsid w:val="00826827"/>
    <w:rsid w:val="00833125"/>
    <w:rsid w:val="0084463C"/>
    <w:rsid w:val="008731F5"/>
    <w:rsid w:val="00873C7F"/>
    <w:rsid w:val="00891A48"/>
    <w:rsid w:val="008A4C6D"/>
    <w:rsid w:val="008B260B"/>
    <w:rsid w:val="008C17CF"/>
    <w:rsid w:val="008C282F"/>
    <w:rsid w:val="008D1128"/>
    <w:rsid w:val="008D2751"/>
    <w:rsid w:val="008D3583"/>
    <w:rsid w:val="008D63E0"/>
    <w:rsid w:val="008E16B2"/>
    <w:rsid w:val="008E595E"/>
    <w:rsid w:val="009048B9"/>
    <w:rsid w:val="00920A17"/>
    <w:rsid w:val="00920FE9"/>
    <w:rsid w:val="00922D30"/>
    <w:rsid w:val="00922D6E"/>
    <w:rsid w:val="00932537"/>
    <w:rsid w:val="0093411E"/>
    <w:rsid w:val="00944C3B"/>
    <w:rsid w:val="00951C79"/>
    <w:rsid w:val="009522A6"/>
    <w:rsid w:val="00960557"/>
    <w:rsid w:val="00962879"/>
    <w:rsid w:val="00965D6E"/>
    <w:rsid w:val="00973754"/>
    <w:rsid w:val="0097494A"/>
    <w:rsid w:val="009E20A4"/>
    <w:rsid w:val="009F0B2A"/>
    <w:rsid w:val="00A057F5"/>
    <w:rsid w:val="00A1531C"/>
    <w:rsid w:val="00A236AE"/>
    <w:rsid w:val="00A300AA"/>
    <w:rsid w:val="00A52FB8"/>
    <w:rsid w:val="00A7305E"/>
    <w:rsid w:val="00A75C60"/>
    <w:rsid w:val="00A957A2"/>
    <w:rsid w:val="00AA5B20"/>
    <w:rsid w:val="00AC0439"/>
    <w:rsid w:val="00AC1FC5"/>
    <w:rsid w:val="00AD0B1D"/>
    <w:rsid w:val="00AD2A5F"/>
    <w:rsid w:val="00AE1F90"/>
    <w:rsid w:val="00AF210A"/>
    <w:rsid w:val="00B03EC6"/>
    <w:rsid w:val="00B17069"/>
    <w:rsid w:val="00B20856"/>
    <w:rsid w:val="00B2116B"/>
    <w:rsid w:val="00B431BB"/>
    <w:rsid w:val="00B547D8"/>
    <w:rsid w:val="00B63ACA"/>
    <w:rsid w:val="00B9144D"/>
    <w:rsid w:val="00B96A6E"/>
    <w:rsid w:val="00BA04F9"/>
    <w:rsid w:val="00BA4377"/>
    <w:rsid w:val="00BB3801"/>
    <w:rsid w:val="00BC4052"/>
    <w:rsid w:val="00BE0552"/>
    <w:rsid w:val="00BE483D"/>
    <w:rsid w:val="00BE4D5E"/>
    <w:rsid w:val="00BF4F22"/>
    <w:rsid w:val="00C22559"/>
    <w:rsid w:val="00C2305E"/>
    <w:rsid w:val="00C25AFC"/>
    <w:rsid w:val="00C2797D"/>
    <w:rsid w:val="00C32E2E"/>
    <w:rsid w:val="00C358EE"/>
    <w:rsid w:val="00C369FF"/>
    <w:rsid w:val="00C47934"/>
    <w:rsid w:val="00C5315E"/>
    <w:rsid w:val="00C536BC"/>
    <w:rsid w:val="00C53B44"/>
    <w:rsid w:val="00C53BA9"/>
    <w:rsid w:val="00C67B1E"/>
    <w:rsid w:val="00C72C01"/>
    <w:rsid w:val="00C75B20"/>
    <w:rsid w:val="00C84D7D"/>
    <w:rsid w:val="00C874CB"/>
    <w:rsid w:val="00C95EDA"/>
    <w:rsid w:val="00C96BF9"/>
    <w:rsid w:val="00CC01D8"/>
    <w:rsid w:val="00CC04BB"/>
    <w:rsid w:val="00CC3044"/>
    <w:rsid w:val="00CD3F07"/>
    <w:rsid w:val="00CD7254"/>
    <w:rsid w:val="00CE64A6"/>
    <w:rsid w:val="00CE72A4"/>
    <w:rsid w:val="00CF20FC"/>
    <w:rsid w:val="00CF6A2B"/>
    <w:rsid w:val="00D14805"/>
    <w:rsid w:val="00D3621F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08DD"/>
    <w:rsid w:val="00DE536A"/>
    <w:rsid w:val="00DF0E8F"/>
    <w:rsid w:val="00DF674B"/>
    <w:rsid w:val="00DF6B43"/>
    <w:rsid w:val="00E00BC4"/>
    <w:rsid w:val="00E424B9"/>
    <w:rsid w:val="00E50A43"/>
    <w:rsid w:val="00E650C9"/>
    <w:rsid w:val="00E65992"/>
    <w:rsid w:val="00E70F60"/>
    <w:rsid w:val="00E71F3E"/>
    <w:rsid w:val="00E75455"/>
    <w:rsid w:val="00E84A72"/>
    <w:rsid w:val="00E87DFC"/>
    <w:rsid w:val="00E90A52"/>
    <w:rsid w:val="00EC55DF"/>
    <w:rsid w:val="00ED3C71"/>
    <w:rsid w:val="00EF28D2"/>
    <w:rsid w:val="00EF3290"/>
    <w:rsid w:val="00F00B28"/>
    <w:rsid w:val="00F03042"/>
    <w:rsid w:val="00F06F94"/>
    <w:rsid w:val="00F14839"/>
    <w:rsid w:val="00F21B36"/>
    <w:rsid w:val="00F4262A"/>
    <w:rsid w:val="00F52314"/>
    <w:rsid w:val="00F6484C"/>
    <w:rsid w:val="00F840D2"/>
    <w:rsid w:val="00FA7413"/>
    <w:rsid w:val="00FB2EFB"/>
    <w:rsid w:val="00FC4728"/>
    <w:rsid w:val="00FD17F1"/>
    <w:rsid w:val="00FD60DB"/>
    <w:rsid w:val="00FE610D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DCED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34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CA9A-E166-4962-A56D-13608524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5</Pages>
  <Words>5922</Words>
  <Characters>3376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User</cp:lastModifiedBy>
  <cp:revision>249</cp:revision>
  <cp:lastPrinted>2019-02-11T10:09:00Z</cp:lastPrinted>
  <dcterms:created xsi:type="dcterms:W3CDTF">2017-01-26T09:54:00Z</dcterms:created>
  <dcterms:modified xsi:type="dcterms:W3CDTF">2019-05-24T06:14:00Z</dcterms:modified>
</cp:coreProperties>
</file>