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982EC1" w:rsidP="00982EC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E66">
        <w:rPr>
          <w:sz w:val="26"/>
          <w:szCs w:val="26"/>
        </w:rPr>
        <w:t>ЗАТВЕРДЖЕНО</w:t>
      </w:r>
    </w:p>
    <w:p w:rsidR="00920A17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>Національного агентства з питань запобігання корупції</w:t>
      </w:r>
    </w:p>
    <w:p w:rsidR="00777F3A" w:rsidRPr="00D14805" w:rsidRDefault="001E179B" w:rsidP="002E023A">
      <w:pPr>
        <w:rPr>
          <w:rStyle w:val="rvts15"/>
          <w:b/>
          <w:sz w:val="6"/>
          <w:szCs w:val="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77F3A">
        <w:rPr>
          <w:sz w:val="26"/>
          <w:szCs w:val="26"/>
        </w:rPr>
        <w:t xml:space="preserve">                                                                             </w:t>
      </w:r>
      <w:r w:rsidR="000C6B41">
        <w:rPr>
          <w:sz w:val="26"/>
          <w:szCs w:val="26"/>
        </w:rPr>
        <w:t xml:space="preserve">   </w:t>
      </w:r>
      <w:r w:rsidR="00BB3801">
        <w:rPr>
          <w:sz w:val="26"/>
          <w:szCs w:val="26"/>
        </w:rPr>
        <w:t xml:space="preserve">  </w:t>
      </w:r>
      <w:r w:rsidR="003E2BE8">
        <w:rPr>
          <w:sz w:val="26"/>
          <w:szCs w:val="26"/>
        </w:rPr>
        <w:t xml:space="preserve">                </w:t>
      </w:r>
      <w:r w:rsidR="002E023A">
        <w:rPr>
          <w:sz w:val="26"/>
          <w:szCs w:val="26"/>
        </w:rPr>
        <w:t>24.05.2019 № 72/19</w:t>
      </w:r>
    </w:p>
    <w:p w:rsidR="00BF5F40" w:rsidRDefault="00BF5F40" w:rsidP="00C67B1E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p w:rsidR="00BA04F9" w:rsidRDefault="001E179B" w:rsidP="00C67B1E">
      <w:pPr>
        <w:tabs>
          <w:tab w:val="left" w:pos="1342"/>
        </w:tabs>
        <w:jc w:val="center"/>
        <w:rPr>
          <w:rFonts w:eastAsia="Calibri"/>
          <w:b/>
          <w:szCs w:val="28"/>
          <w:lang w:eastAsia="en-US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154E45">
        <w:rPr>
          <w:rStyle w:val="rvts15"/>
          <w:b/>
          <w:szCs w:val="28"/>
        </w:rPr>
        <w:t xml:space="preserve">проведення конкурсу на </w:t>
      </w:r>
      <w:r w:rsidR="00644E64" w:rsidRPr="00154E45">
        <w:rPr>
          <w:b/>
          <w:szCs w:val="28"/>
        </w:rPr>
        <w:t>зайняття вакантної поса</w:t>
      </w:r>
      <w:r w:rsidR="003544DF" w:rsidRPr="00154E45">
        <w:rPr>
          <w:b/>
          <w:szCs w:val="28"/>
        </w:rPr>
        <w:t>ди державної служби</w:t>
      </w:r>
      <w:r w:rsidR="003544DF" w:rsidRPr="00154E45">
        <w:rPr>
          <w:b/>
          <w:szCs w:val="28"/>
        </w:rPr>
        <w:br/>
        <w:t>категорії «В</w:t>
      </w:r>
      <w:r w:rsidR="00644E64" w:rsidRPr="00154E45">
        <w:rPr>
          <w:b/>
          <w:szCs w:val="28"/>
        </w:rPr>
        <w:t xml:space="preserve">» </w:t>
      </w:r>
      <w:r w:rsidR="00644E64" w:rsidRPr="00D93F42">
        <w:rPr>
          <w:b/>
          <w:szCs w:val="28"/>
        </w:rPr>
        <w:t>-</w:t>
      </w:r>
      <w:r w:rsidR="00D93F42">
        <w:rPr>
          <w:b/>
          <w:szCs w:val="28"/>
        </w:rPr>
        <w:t xml:space="preserve"> </w:t>
      </w:r>
      <w:r w:rsidR="00745CE1">
        <w:rPr>
          <w:b/>
          <w:szCs w:val="28"/>
        </w:rPr>
        <w:t>провідного</w:t>
      </w:r>
      <w:r w:rsidR="00D93F42" w:rsidRPr="00D93F42">
        <w:rPr>
          <w:b/>
          <w:szCs w:val="28"/>
        </w:rPr>
        <w:t xml:space="preserve"> спеціаліст</w:t>
      </w:r>
      <w:r w:rsidR="00745CE1">
        <w:rPr>
          <w:b/>
          <w:szCs w:val="28"/>
        </w:rPr>
        <w:t>а</w:t>
      </w:r>
      <w:r w:rsidR="00D93F42" w:rsidRPr="00D93F42">
        <w:rPr>
          <w:b/>
          <w:szCs w:val="28"/>
        </w:rPr>
        <w:t xml:space="preserve"> відділу нормативного забезпечення реалізації антикорупційної політики Департаменту координації антикорупційної політики</w:t>
      </w:r>
      <w:r w:rsidR="00D93F42">
        <w:rPr>
          <w:rFonts w:eastAsia="Calibri"/>
          <w:b/>
          <w:szCs w:val="28"/>
          <w:lang w:eastAsia="en-US"/>
        </w:rPr>
        <w:t xml:space="preserve"> – 1 штатна посада</w:t>
      </w:r>
    </w:p>
    <w:p w:rsidR="00C95EDA" w:rsidRPr="00D14805" w:rsidRDefault="00C95EDA" w:rsidP="00C67B1E">
      <w:pPr>
        <w:tabs>
          <w:tab w:val="left" w:pos="1342"/>
        </w:tabs>
        <w:jc w:val="center"/>
        <w:rPr>
          <w:rStyle w:val="rvts15"/>
          <w:b/>
          <w:sz w:val="6"/>
          <w:szCs w:val="6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0205"/>
      </w:tblGrid>
      <w:tr w:rsidR="001E179B" w:rsidTr="003E64B3">
        <w:trPr>
          <w:trHeight w:val="383"/>
        </w:trPr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93F42" w:rsidTr="001078C3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Default="00D93F42" w:rsidP="00D93F42">
            <w:pPr>
              <w:pStyle w:val="rvps14"/>
            </w:pPr>
            <w:r>
              <w:t>Посадові обов’язки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sz w:val="24"/>
              </w:rPr>
              <w:t>в</w:t>
            </w:r>
            <w:r w:rsidRPr="00272FF4">
              <w:rPr>
                <w:sz w:val="24"/>
              </w:rPr>
              <w:t>ивчення стану нормативного забезпечення запобігання та протидії корупції в Україні, практики правозастосування у сфері запобігання та протидії корупції у діяльності державних органів, органів влади Автономної Республіки Крим та о</w:t>
            </w:r>
            <w:r>
              <w:rPr>
                <w:sz w:val="24"/>
              </w:rPr>
              <w:t>рганів місцевого самоврядування</w:t>
            </w:r>
            <w:r w:rsidRPr="004D6645">
              <w:rPr>
                <w:sz w:val="24"/>
              </w:rPr>
              <w:t>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підготовка проектів висновків Національного агентства щодо проектів нормативно-правових актів з питань реалізації антикорупційної політики;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участь у розробленні проектів нормативно-правових актів з питань реалізації антикорупційної політики;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проведення антикорупційної експертизи проектів актів та моніторинг законодавства на предмет виявлення корупціогенних чинників;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забезпечення співпраці з Громадською радою при Національному агентстві, вжиття заходів щодо її залучення до проведення антикорупційної експертизи;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здійснення заходів щодо залучення громадськості до формування, реалізації та моніторингу антикорупційної політики;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розгляд за дорученням керівництва звернень громадян, листів державних органів та органів місцевого самоврядування, підприємств, установ, організацій з питань, що належать до компетенції відділу;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підготовка проектів документів, що за погодженням з керівником відділу подаються на підпис керівнику Департаменту, керівнику апарату, Голові та членам Національного агентства відповідно до вимог Регламенту Національного агентства та положення про апарат Національного агентства;</w:t>
            </w:r>
          </w:p>
          <w:p w:rsidR="00D93F42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належне та своєчасне виконання покладених на нього відповідних завдань та функцій Відділу, Департаменту, доручень керівника Відділу та керівника Департаменту;</w:t>
            </w:r>
          </w:p>
          <w:p w:rsidR="00D93F42" w:rsidRPr="0014217E" w:rsidRDefault="00D93F42" w:rsidP="00D93F42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14217E">
              <w:rPr>
                <w:sz w:val="24"/>
              </w:rPr>
              <w:t>виконання відповідно до Конституції, законів України, актів Президента України, Кабінету Міністрів України, Положення про апарат Національного агентства інших завдань та обов’язків з ураху</w:t>
            </w:r>
            <w:r>
              <w:rPr>
                <w:sz w:val="24"/>
              </w:rPr>
              <w:t>ванням основних завдань Відділу</w:t>
            </w:r>
          </w:p>
        </w:tc>
      </w:tr>
      <w:tr w:rsidR="00D93F42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Default="00D93F42" w:rsidP="00D93F42">
            <w:pPr>
              <w:pStyle w:val="rvps14"/>
            </w:pPr>
            <w:r>
              <w:t>Умови оплати праці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Default="00BF5F40" w:rsidP="00D93F42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7 887</w:t>
            </w:r>
            <w:r w:rsidR="00D93F42" w:rsidRPr="00152AAD">
              <w:rPr>
                <w:b/>
              </w:rPr>
              <w:t>,</w:t>
            </w:r>
            <w:r>
              <w:rPr>
                <w:b/>
              </w:rPr>
              <w:t>5</w:t>
            </w:r>
            <w:r w:rsidR="00D93F42" w:rsidRPr="00152AAD">
              <w:rPr>
                <w:b/>
              </w:rPr>
              <w:t>0 грн;</w:t>
            </w:r>
          </w:p>
          <w:p w:rsidR="00D93F42" w:rsidRPr="003D5944" w:rsidRDefault="00D93F42" w:rsidP="00D93F42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D93F42" w:rsidRDefault="00D93F42" w:rsidP="00D93F42">
            <w:pPr>
              <w:pStyle w:val="rvps14"/>
              <w:spacing w:before="0" w:beforeAutospacing="0" w:after="0" w:afterAutospacing="0"/>
            </w:pPr>
            <w:r w:rsidRPr="00C34971">
              <w:lastRenderedPageBreak/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D93F42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Default="00D93F42" w:rsidP="00D93F42">
            <w:pPr>
              <w:pStyle w:val="rvps14"/>
            </w:pPr>
            <w:r>
              <w:lastRenderedPageBreak/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E979A3" w:rsidRDefault="00D93F42" w:rsidP="00D93F42">
            <w:pPr>
              <w:pStyle w:val="a7"/>
              <w:tabs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D93F42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Pr="00503299" w:rsidRDefault="00D93F42" w:rsidP="00D93F42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1. Копія паспорта громадянина України.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2. Письмова</w:t>
            </w:r>
            <w:r>
              <w:rPr>
                <w:color w:val="000000" w:themeColor="text1"/>
                <w:spacing w:val="-6"/>
                <w:lang w:val="uk-UA"/>
              </w:rPr>
              <w:t xml:space="preserve"> </w:t>
            </w:r>
            <w:r w:rsidRPr="006A45AA">
              <w:rPr>
                <w:color w:val="000000" w:themeColor="text1"/>
                <w:spacing w:val="-6"/>
                <w:lang w:val="uk-UA"/>
              </w:rPr>
              <w:t>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D93F42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частиною</w:t>
              </w:r>
              <w:r w:rsidRPr="006A45AA">
                <w:rPr>
                  <w:rStyle w:val="a3"/>
                  <w:color w:val="000000" w:themeColor="text1"/>
                  <w:spacing w:val="-6"/>
                  <w:lang w:val="uk-UA"/>
                </w:rPr>
                <w:t xml:space="preserve"> </w:t>
              </w:r>
              <w:r w:rsidRPr="00D93F42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третьою</w:t>
              </w:r>
            </w:hyperlink>
            <w:r w:rsidRPr="006A45AA">
              <w:rPr>
                <w:color w:val="000000" w:themeColor="text1"/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D93F42">
                <w:rPr>
                  <w:rStyle w:val="a3"/>
                  <w:color w:val="000000" w:themeColor="text1"/>
                  <w:spacing w:val="-6"/>
                  <w:u w:val="none"/>
                  <w:lang w:val="uk-UA"/>
                </w:rPr>
                <w:t>четвертою</w:t>
              </w:r>
            </w:hyperlink>
            <w:r w:rsidRPr="006A45AA">
              <w:rPr>
                <w:color w:val="000000" w:themeColor="text1"/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4. Копія (копії) документа (документів) про освіту.</w:t>
            </w:r>
          </w:p>
          <w:p w:rsidR="00D93F42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 w:rsidRPr="006A45AA">
              <w:rPr>
                <w:color w:val="000000" w:themeColor="text1"/>
                <w:spacing w:val="-6"/>
                <w:lang w:val="uk-UA"/>
              </w:rPr>
              <w:t>5. Заповнена особова картка встановленого зразка.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>
              <w:rPr>
                <w:color w:val="000000" w:themeColor="text1"/>
                <w:spacing w:val="-6"/>
                <w:lang w:val="uk-UA"/>
              </w:rPr>
              <w:t>6. Оригінал посвідчення атестації щодо вільного володіння державною мовою.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pacing w:val="-6"/>
                <w:lang w:val="uk-UA"/>
              </w:rPr>
            </w:pPr>
            <w:r>
              <w:rPr>
                <w:color w:val="000000" w:themeColor="text1"/>
                <w:spacing w:val="-6"/>
                <w:lang w:val="uk-UA"/>
              </w:rPr>
              <w:t>7</w:t>
            </w:r>
            <w:r w:rsidRPr="006A45AA">
              <w:rPr>
                <w:color w:val="000000" w:themeColor="text1"/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color w:val="000000" w:themeColor="text1"/>
                <w:spacing w:val="-6"/>
                <w:lang w:val="uk-UA"/>
              </w:rPr>
              <w:t>8</w:t>
            </w:r>
            <w:r w:rsidRPr="006A45AA">
              <w:rPr>
                <w:color w:val="000000" w:themeColor="text1"/>
                <w:spacing w:val="-6"/>
                <w:lang w:val="uk-UA"/>
              </w:rPr>
              <w:t xml:space="preserve"> рік</w:t>
            </w:r>
            <w:r>
              <w:rPr>
                <w:color w:val="000000" w:themeColor="text1"/>
                <w:spacing w:val="-6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НАЗК).</w:t>
            </w:r>
          </w:p>
          <w:p w:rsidR="00D93F42" w:rsidRPr="00037503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spacing w:val="-6"/>
                <w:lang w:val="uk-UA"/>
              </w:rPr>
            </w:pPr>
            <w:r>
              <w:rPr>
                <w:b/>
                <w:i/>
                <w:color w:val="000000" w:themeColor="text1"/>
                <w:spacing w:val="-6"/>
                <w:lang w:val="uk-UA"/>
              </w:rPr>
              <w:t xml:space="preserve">Документи приймаються до </w:t>
            </w:r>
            <w:r w:rsidRPr="00037503">
              <w:rPr>
                <w:b/>
                <w:i/>
                <w:spacing w:val="-6"/>
                <w:lang w:val="uk-UA"/>
              </w:rPr>
              <w:t>16 год. 45 хв. 14 червня 2019 року.</w:t>
            </w:r>
          </w:p>
          <w:p w:rsidR="00D93F42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pacing w:val="-6"/>
                <w:lang w:val="uk-UA"/>
              </w:rPr>
            </w:pPr>
            <w:r w:rsidRPr="006538B1">
              <w:rPr>
                <w:b/>
                <w:i/>
                <w:color w:val="000000" w:themeColor="text1"/>
                <w:spacing w:val="-6"/>
                <w:lang w:val="uk-UA"/>
              </w:rPr>
              <w:t>за адресою: м. Київ, Дружби народів, 28 (скринька для вхідної кореспонденції при вході у приміщення).</w:t>
            </w:r>
          </w:p>
          <w:p w:rsidR="00D93F42" w:rsidRPr="006A45AA" w:rsidRDefault="00D93F42" w:rsidP="00D93F42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  <w:spacing w:val="-6"/>
                <w:lang w:val="uk-UA"/>
              </w:rPr>
            </w:pPr>
          </w:p>
        </w:tc>
      </w:tr>
      <w:tr w:rsidR="00D93F42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Pr="00503299" w:rsidRDefault="00D93F42" w:rsidP="00D93F42">
            <w:pPr>
              <w:pStyle w:val="rvps14"/>
            </w:pPr>
            <w:r>
              <w:t>М</w:t>
            </w:r>
            <w:r w:rsidRPr="00503299">
              <w:t>ісце</w:t>
            </w:r>
            <w:r>
              <w:t>, час та дата початку</w:t>
            </w:r>
            <w:r w:rsidRPr="00503299">
              <w:t xml:space="preserve"> проведення конкурсу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F42" w:rsidRPr="006A45AA" w:rsidRDefault="00D93F42" w:rsidP="00D93F4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pacing w:val="-6"/>
                <w:lang w:val="uk-UA" w:eastAsia="en-US"/>
              </w:rPr>
            </w:pPr>
            <w:r w:rsidRPr="00037503">
              <w:rPr>
                <w:spacing w:val="-6"/>
                <w:lang w:val="uk-UA" w:eastAsia="en-US"/>
              </w:rPr>
              <w:t xml:space="preserve">21 червня </w:t>
            </w:r>
            <w:r w:rsidRPr="00A52FB8">
              <w:rPr>
                <w:spacing w:val="-6"/>
                <w:lang w:val="uk-UA" w:eastAsia="en-US"/>
              </w:rPr>
              <w:t>2019 року м. Київ, бульвар Дружби народів, 28 - електронне тестування (про час буде поінформовано додатково).</w:t>
            </w:r>
          </w:p>
        </w:tc>
      </w:tr>
      <w:tr w:rsidR="00D93F42" w:rsidRPr="00503299" w:rsidTr="00C67B1E"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D93F42" w:rsidRPr="00503299" w:rsidRDefault="00D93F42" w:rsidP="00D93F42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2279BE" w:rsidRDefault="00D93F42" w:rsidP="00D93F42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E73625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D93F42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93F42" w:rsidRPr="00EF28D2" w:rsidRDefault="00D93F42" w:rsidP="00D93F4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D93F42" w:rsidRPr="00503299" w:rsidTr="00C67B1E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D93F42" w:rsidRPr="00503299" w:rsidRDefault="00D93F42" w:rsidP="00D93F42">
            <w:pPr>
              <w:pStyle w:val="rvps12"/>
            </w:pPr>
            <w:r>
              <w:t xml:space="preserve">  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3F42" w:rsidRPr="00503299" w:rsidRDefault="00D93F42" w:rsidP="00D93F42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503299" w:rsidRDefault="00D93F42" w:rsidP="00D93F42">
            <w:pPr>
              <w:pStyle w:val="rvps14"/>
            </w:pPr>
            <w:r>
              <w:t xml:space="preserve">вища освіта за освітнім ступенем не нижче бакалавра, молодшого бакалавра </w:t>
            </w:r>
          </w:p>
        </w:tc>
      </w:tr>
      <w:tr w:rsidR="00D93F42" w:rsidRPr="00503299" w:rsidTr="00C67B1E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D93F42" w:rsidRPr="00503299" w:rsidRDefault="00D93F42" w:rsidP="00D93F42">
            <w:pPr>
              <w:pStyle w:val="rvps12"/>
            </w:pPr>
            <w:r>
              <w:t xml:space="preserve">  2.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3F42" w:rsidRPr="00503299" w:rsidRDefault="00D93F42" w:rsidP="00D93F42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503299" w:rsidRDefault="00D93F42" w:rsidP="00D93F42">
            <w:pPr>
              <w:pStyle w:val="rvps14"/>
            </w:pPr>
            <w:r>
              <w:t xml:space="preserve">не потребує </w:t>
            </w:r>
          </w:p>
        </w:tc>
      </w:tr>
      <w:tr w:rsidR="00D93F42" w:rsidRPr="00503299" w:rsidTr="00C67B1E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D93F42" w:rsidRPr="00503299" w:rsidRDefault="00D93F42" w:rsidP="00D93F42">
            <w:pPr>
              <w:pStyle w:val="rvps12"/>
            </w:pPr>
            <w:r>
              <w:t xml:space="preserve">  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93F42" w:rsidRPr="00503299" w:rsidRDefault="00D93F42" w:rsidP="00D93F42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05" w:type="dxa"/>
            <w:tcBorders>
              <w:right w:val="double" w:sz="4" w:space="0" w:color="auto"/>
            </w:tcBorders>
          </w:tcPr>
          <w:p w:rsidR="00D93F42" w:rsidRPr="00503299" w:rsidRDefault="00D93F42" w:rsidP="00D93F42">
            <w:pPr>
              <w:pStyle w:val="rvps14"/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AD2A5F" w:rsidRPr="006538B1" w:rsidRDefault="006538B1" w:rsidP="00344E77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344E77">
              <w:rPr>
                <w:color w:val="000000"/>
                <w:sz w:val="24"/>
              </w:rPr>
              <w:t>, робота з програмним забезпеченням системи «ЛІГА ЗАКОН»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A6F5F" w:rsidRPr="00E12E4B" w:rsidRDefault="002B02B1" w:rsidP="002C17CE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6F5F" w:rsidRPr="00E12E4B">
              <w:rPr>
                <w:sz w:val="24"/>
              </w:rPr>
              <w:t>аналітичні здібності,</w:t>
            </w:r>
            <w:r w:rsidR="00F00B28">
              <w:rPr>
                <w:sz w:val="24"/>
              </w:rPr>
              <w:t xml:space="preserve"> лідерські якості, вміння розподіляти роботу,</w:t>
            </w:r>
            <w:r w:rsidR="005A6F5F" w:rsidRPr="00E12E4B">
              <w:rPr>
                <w:sz w:val="24"/>
              </w:rPr>
              <w:t xml:space="preserve"> виваженість, здатність концентруватись на деталях, адаптивність, вміння вести перем</w:t>
            </w:r>
            <w:r w:rsidR="009048B9">
              <w:rPr>
                <w:sz w:val="24"/>
              </w:rPr>
              <w:t>овини</w:t>
            </w:r>
            <w:r w:rsidR="005A6F5F" w:rsidRPr="00E12E4B">
              <w:rPr>
                <w:sz w:val="24"/>
              </w:rPr>
              <w:t>,</w:t>
            </w:r>
            <w:r w:rsidR="00F00B28">
              <w:rPr>
                <w:sz w:val="24"/>
              </w:rPr>
              <w:t xml:space="preserve"> організаторські здібності,</w:t>
            </w:r>
            <w:r w:rsidR="005A6F5F" w:rsidRPr="00E12E4B">
              <w:rPr>
                <w:sz w:val="24"/>
              </w:rPr>
              <w:t xml:space="preserve"> </w:t>
            </w:r>
            <w:r w:rsidR="005A6F5F" w:rsidRPr="00E12E4B">
              <w:rPr>
                <w:sz w:val="24"/>
              </w:rPr>
              <w:lastRenderedPageBreak/>
              <w:t>стресостійкість, вимогливість, вміння визначати пріоритети, вміння аргументовано доводити власну точку з</w:t>
            </w:r>
            <w:r w:rsidR="009048B9">
              <w:rPr>
                <w:sz w:val="24"/>
              </w:rPr>
              <w:t>ору</w:t>
            </w:r>
            <w:r w:rsidR="00514729">
              <w:rPr>
                <w:sz w:val="24"/>
              </w:rPr>
              <w:t xml:space="preserve">, </w:t>
            </w:r>
            <w:r w:rsidR="00F00B28">
              <w:rPr>
                <w:sz w:val="24"/>
              </w:rPr>
              <w:t xml:space="preserve">навички розв’язання проблем, </w:t>
            </w:r>
            <w:r w:rsidR="00514729">
              <w:rPr>
                <w:sz w:val="24"/>
              </w:rPr>
              <w:t>уміння працювати в команді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Pr="00E12E4B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5C1201" w:rsidRDefault="002E023A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5C120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5C1201">
              <w:rPr>
                <w:color w:val="000000"/>
                <w:sz w:val="24"/>
              </w:rPr>
              <w:t>;</w:t>
            </w:r>
          </w:p>
          <w:p w:rsidR="005A6F5F" w:rsidRPr="005C1201" w:rsidRDefault="002E023A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5C120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5C1201">
              <w:rPr>
                <w:rFonts w:cs="Calibri"/>
                <w:sz w:val="24"/>
                <w:lang w:eastAsia="en-US"/>
              </w:rPr>
              <w:t>»</w:t>
            </w:r>
            <w:r w:rsidR="005A6F5F" w:rsidRPr="005C1201">
              <w:rPr>
                <w:color w:val="000000"/>
                <w:sz w:val="24"/>
              </w:rPr>
              <w:t>;</w:t>
            </w:r>
          </w:p>
          <w:p w:rsidR="005A6F5F" w:rsidRPr="005C1201" w:rsidRDefault="002E023A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5C120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5C120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Закон України «Про Регламент Верховної Ради України»;</w:t>
            </w:r>
          </w:p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Регламент Кабінету Міністрів України, затверджений постановою Кабінету Міністрів України від 18.07.2017 № 950;</w:t>
            </w:r>
          </w:p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Порядок проведення антикорупційної експертизи проектів нормативно-правових актів Національним агентством з питань запобігання корупції, затверджений рішенням Національного агентства від 28.07.2016 №1, зареєстрований у Міністерстві юстиції України 25.08.2016 за № 1184/29314;</w:t>
            </w:r>
          </w:p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Конвенція ООН проти корупції;</w:t>
            </w:r>
          </w:p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 xml:space="preserve">Кримінальна конвенція про боротьбу з корупцією </w:t>
            </w:r>
          </w:p>
          <w:p w:rsidR="00D93F42" w:rsidRPr="00982EC1" w:rsidRDefault="00D93F42" w:rsidP="00D93F42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Цивільна конвенція про боротьбу з корупцією;</w:t>
            </w:r>
          </w:p>
          <w:p w:rsidR="00344E77" w:rsidRPr="00982EC1" w:rsidRDefault="00D93F42" w:rsidP="00982EC1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Конвенція ООН проти транснаціональної організованої злочинності.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D93F42" w:rsidRDefault="00D93F42" w:rsidP="00D93F42">
            <w:pPr>
              <w:pStyle w:val="ac"/>
              <w:numPr>
                <w:ilvl w:val="0"/>
                <w:numId w:val="8"/>
              </w:numPr>
              <w:ind w:left="653" w:hanging="567"/>
              <w:rPr>
                <w:sz w:val="24"/>
              </w:rPr>
            </w:pPr>
            <w:r>
              <w:rPr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D93F42" w:rsidRDefault="00D93F42" w:rsidP="00D93F42">
            <w:pPr>
              <w:numPr>
                <w:ilvl w:val="0"/>
                <w:numId w:val="8"/>
              </w:numPr>
              <w:spacing w:line="276" w:lineRule="auto"/>
              <w:ind w:left="653" w:hanging="567"/>
              <w:jc w:val="left"/>
              <w:rPr>
                <w:sz w:val="24"/>
              </w:rPr>
            </w:pPr>
            <w:r>
              <w:rPr>
                <w:sz w:val="24"/>
              </w:rPr>
              <w:t>знання практики застосування антикорупційного законодавства;</w:t>
            </w:r>
          </w:p>
          <w:p w:rsidR="00D93F42" w:rsidRDefault="00D93F42" w:rsidP="00D93F42">
            <w:pPr>
              <w:numPr>
                <w:ilvl w:val="0"/>
                <w:numId w:val="8"/>
              </w:numPr>
              <w:spacing w:line="276" w:lineRule="auto"/>
              <w:ind w:left="653" w:hanging="567"/>
              <w:jc w:val="left"/>
              <w:rPr>
                <w:sz w:val="24"/>
              </w:rPr>
            </w:pPr>
            <w:r>
              <w:rPr>
                <w:sz w:val="24"/>
              </w:rPr>
              <w:t>знання порядку підготовки та погодження проектів нормативно-правових актів;</w:t>
            </w:r>
          </w:p>
          <w:p w:rsidR="00631C35" w:rsidRPr="00BF5F40" w:rsidRDefault="00D93F42" w:rsidP="00BF5F40">
            <w:pPr>
              <w:numPr>
                <w:ilvl w:val="0"/>
                <w:numId w:val="8"/>
              </w:numPr>
              <w:spacing w:line="276" w:lineRule="auto"/>
              <w:ind w:left="653" w:hanging="5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алгоритму проведення антикорупційної експертизи проектів нормативно-правових </w:t>
            </w:r>
            <w:r w:rsidR="00BF5F40">
              <w:rPr>
                <w:sz w:val="24"/>
              </w:rPr>
              <w:t>актів Національним агентством.</w:t>
            </w:r>
          </w:p>
        </w:tc>
      </w:tr>
    </w:tbl>
    <w:p w:rsidR="00E65992" w:rsidRDefault="00E65992" w:rsidP="00D14805">
      <w:pPr>
        <w:ind w:firstLine="0"/>
        <w:jc w:val="left"/>
        <w:rPr>
          <w:bCs/>
          <w:szCs w:val="28"/>
        </w:rPr>
      </w:pPr>
    </w:p>
    <w:p w:rsidR="000E6B36" w:rsidRDefault="000E6B36" w:rsidP="008E16B2">
      <w:pPr>
        <w:ind w:firstLine="0"/>
        <w:jc w:val="left"/>
        <w:rPr>
          <w:b/>
          <w:bCs/>
          <w:szCs w:val="28"/>
        </w:rPr>
      </w:pPr>
      <w:bookmarkStart w:id="2" w:name="_GoBack"/>
      <w:bookmarkEnd w:id="2"/>
    </w:p>
    <w:sectPr w:rsidR="000E6B36" w:rsidSect="000E6B36">
      <w:pgSz w:w="16838" w:h="11906" w:orient="landscape"/>
      <w:pgMar w:top="426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354B7"/>
    <w:multiLevelType w:val="hybridMultilevel"/>
    <w:tmpl w:val="CAEEBDF4"/>
    <w:lvl w:ilvl="0" w:tplc="B60A40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97A"/>
    <w:multiLevelType w:val="hybridMultilevel"/>
    <w:tmpl w:val="FC8E567C"/>
    <w:lvl w:ilvl="0" w:tplc="6D7CA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015199C"/>
    <w:multiLevelType w:val="hybridMultilevel"/>
    <w:tmpl w:val="CEBEE9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0838"/>
    <w:rsid w:val="00014C39"/>
    <w:rsid w:val="0001772D"/>
    <w:rsid w:val="00025045"/>
    <w:rsid w:val="00036591"/>
    <w:rsid w:val="00037503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655D"/>
    <w:rsid w:val="000C6B41"/>
    <w:rsid w:val="000C79C3"/>
    <w:rsid w:val="000E1A18"/>
    <w:rsid w:val="000E6B36"/>
    <w:rsid w:val="000F2F2E"/>
    <w:rsid w:val="000F3E45"/>
    <w:rsid w:val="0011264E"/>
    <w:rsid w:val="0012467A"/>
    <w:rsid w:val="001262B4"/>
    <w:rsid w:val="00133098"/>
    <w:rsid w:val="0013672B"/>
    <w:rsid w:val="00152AAD"/>
    <w:rsid w:val="00154E45"/>
    <w:rsid w:val="00155035"/>
    <w:rsid w:val="00155F68"/>
    <w:rsid w:val="0016330C"/>
    <w:rsid w:val="00194E0B"/>
    <w:rsid w:val="00195B32"/>
    <w:rsid w:val="001B30D5"/>
    <w:rsid w:val="001C0FB0"/>
    <w:rsid w:val="001C6BDB"/>
    <w:rsid w:val="001D344E"/>
    <w:rsid w:val="001D6F4F"/>
    <w:rsid w:val="001E179B"/>
    <w:rsid w:val="001E3AB3"/>
    <w:rsid w:val="001F7F1D"/>
    <w:rsid w:val="00216926"/>
    <w:rsid w:val="002279BE"/>
    <w:rsid w:val="00234FE9"/>
    <w:rsid w:val="0024136B"/>
    <w:rsid w:val="002478B7"/>
    <w:rsid w:val="0025144C"/>
    <w:rsid w:val="00266096"/>
    <w:rsid w:val="00271741"/>
    <w:rsid w:val="00275EDC"/>
    <w:rsid w:val="00276D91"/>
    <w:rsid w:val="00296A1B"/>
    <w:rsid w:val="002B02B1"/>
    <w:rsid w:val="002B62EA"/>
    <w:rsid w:val="002C17CE"/>
    <w:rsid w:val="002C28FB"/>
    <w:rsid w:val="002C55F6"/>
    <w:rsid w:val="002C7DD2"/>
    <w:rsid w:val="002E023A"/>
    <w:rsid w:val="002E2098"/>
    <w:rsid w:val="00303713"/>
    <w:rsid w:val="00317FC3"/>
    <w:rsid w:val="0032776C"/>
    <w:rsid w:val="0034438F"/>
    <w:rsid w:val="00344E77"/>
    <w:rsid w:val="00350575"/>
    <w:rsid w:val="003544DF"/>
    <w:rsid w:val="00360366"/>
    <w:rsid w:val="00362114"/>
    <w:rsid w:val="00377ABE"/>
    <w:rsid w:val="00383AA3"/>
    <w:rsid w:val="0039051A"/>
    <w:rsid w:val="00397AEA"/>
    <w:rsid w:val="003C0D58"/>
    <w:rsid w:val="003C3A83"/>
    <w:rsid w:val="003D03AF"/>
    <w:rsid w:val="003D5944"/>
    <w:rsid w:val="003E0C01"/>
    <w:rsid w:val="003E2BE8"/>
    <w:rsid w:val="003E4033"/>
    <w:rsid w:val="003E4AA9"/>
    <w:rsid w:val="003E64B3"/>
    <w:rsid w:val="003E72D1"/>
    <w:rsid w:val="003F7899"/>
    <w:rsid w:val="00403488"/>
    <w:rsid w:val="00404D1F"/>
    <w:rsid w:val="00430DBD"/>
    <w:rsid w:val="0043413C"/>
    <w:rsid w:val="00436371"/>
    <w:rsid w:val="00440E66"/>
    <w:rsid w:val="004434D8"/>
    <w:rsid w:val="00470042"/>
    <w:rsid w:val="00477942"/>
    <w:rsid w:val="00483121"/>
    <w:rsid w:val="00485BBE"/>
    <w:rsid w:val="004860A9"/>
    <w:rsid w:val="00487296"/>
    <w:rsid w:val="004A3FD6"/>
    <w:rsid w:val="004D1333"/>
    <w:rsid w:val="004D3F8A"/>
    <w:rsid w:val="004E77E6"/>
    <w:rsid w:val="004F6138"/>
    <w:rsid w:val="00510E78"/>
    <w:rsid w:val="00514729"/>
    <w:rsid w:val="00515009"/>
    <w:rsid w:val="005156E2"/>
    <w:rsid w:val="00521303"/>
    <w:rsid w:val="005225DB"/>
    <w:rsid w:val="0052384C"/>
    <w:rsid w:val="005264E3"/>
    <w:rsid w:val="00532A6C"/>
    <w:rsid w:val="00536933"/>
    <w:rsid w:val="0054236A"/>
    <w:rsid w:val="005448FF"/>
    <w:rsid w:val="0056437D"/>
    <w:rsid w:val="00591CA1"/>
    <w:rsid w:val="005A6F5F"/>
    <w:rsid w:val="005C0327"/>
    <w:rsid w:val="005C1201"/>
    <w:rsid w:val="005C3467"/>
    <w:rsid w:val="005E0D74"/>
    <w:rsid w:val="005E221C"/>
    <w:rsid w:val="005E5973"/>
    <w:rsid w:val="005E667A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C2FC8"/>
    <w:rsid w:val="006C6E97"/>
    <w:rsid w:val="006E209A"/>
    <w:rsid w:val="0070139E"/>
    <w:rsid w:val="007019D1"/>
    <w:rsid w:val="007041B6"/>
    <w:rsid w:val="00707389"/>
    <w:rsid w:val="007153DC"/>
    <w:rsid w:val="00723CB5"/>
    <w:rsid w:val="00745CE1"/>
    <w:rsid w:val="00760B90"/>
    <w:rsid w:val="00772EF8"/>
    <w:rsid w:val="007777C6"/>
    <w:rsid w:val="00777F3A"/>
    <w:rsid w:val="007A5C26"/>
    <w:rsid w:val="007A7CFD"/>
    <w:rsid w:val="007B6D36"/>
    <w:rsid w:val="007D030B"/>
    <w:rsid w:val="007D4C0F"/>
    <w:rsid w:val="007E48B8"/>
    <w:rsid w:val="007E78C3"/>
    <w:rsid w:val="007F1FEA"/>
    <w:rsid w:val="00801CA5"/>
    <w:rsid w:val="00802605"/>
    <w:rsid w:val="0080512A"/>
    <w:rsid w:val="0080619E"/>
    <w:rsid w:val="00810B75"/>
    <w:rsid w:val="0082025A"/>
    <w:rsid w:val="00826827"/>
    <w:rsid w:val="00833125"/>
    <w:rsid w:val="0084463C"/>
    <w:rsid w:val="008731F5"/>
    <w:rsid w:val="00873C7F"/>
    <w:rsid w:val="00891A48"/>
    <w:rsid w:val="008A4C6D"/>
    <w:rsid w:val="008B260B"/>
    <w:rsid w:val="008C17CF"/>
    <w:rsid w:val="008C282F"/>
    <w:rsid w:val="008D1128"/>
    <w:rsid w:val="008D2751"/>
    <w:rsid w:val="008D3583"/>
    <w:rsid w:val="008D63E0"/>
    <w:rsid w:val="008E16B2"/>
    <w:rsid w:val="008E595E"/>
    <w:rsid w:val="009048B9"/>
    <w:rsid w:val="00920A17"/>
    <w:rsid w:val="00920FE9"/>
    <w:rsid w:val="00922D30"/>
    <w:rsid w:val="00922D6E"/>
    <w:rsid w:val="00932537"/>
    <w:rsid w:val="0093411E"/>
    <w:rsid w:val="00944C3B"/>
    <w:rsid w:val="00951C79"/>
    <w:rsid w:val="009522A6"/>
    <w:rsid w:val="00960557"/>
    <w:rsid w:val="00962879"/>
    <w:rsid w:val="00965D6E"/>
    <w:rsid w:val="00973754"/>
    <w:rsid w:val="0097494A"/>
    <w:rsid w:val="00982EC1"/>
    <w:rsid w:val="009E20A4"/>
    <w:rsid w:val="009F0B2A"/>
    <w:rsid w:val="00A057F5"/>
    <w:rsid w:val="00A1531C"/>
    <w:rsid w:val="00A236AE"/>
    <w:rsid w:val="00A300AA"/>
    <w:rsid w:val="00A52FB8"/>
    <w:rsid w:val="00A7305E"/>
    <w:rsid w:val="00A75C60"/>
    <w:rsid w:val="00A957A2"/>
    <w:rsid w:val="00AA5B20"/>
    <w:rsid w:val="00AC0439"/>
    <w:rsid w:val="00AC1FC5"/>
    <w:rsid w:val="00AD0B1D"/>
    <w:rsid w:val="00AD2A5F"/>
    <w:rsid w:val="00AE1F90"/>
    <w:rsid w:val="00AF210A"/>
    <w:rsid w:val="00B03EC6"/>
    <w:rsid w:val="00B17069"/>
    <w:rsid w:val="00B20856"/>
    <w:rsid w:val="00B2116B"/>
    <w:rsid w:val="00B431BB"/>
    <w:rsid w:val="00B547D8"/>
    <w:rsid w:val="00B63ACA"/>
    <w:rsid w:val="00B9144D"/>
    <w:rsid w:val="00B96A6E"/>
    <w:rsid w:val="00BA04F9"/>
    <w:rsid w:val="00BA4377"/>
    <w:rsid w:val="00BB3801"/>
    <w:rsid w:val="00BC4052"/>
    <w:rsid w:val="00BE0552"/>
    <w:rsid w:val="00BE483D"/>
    <w:rsid w:val="00BE4D5E"/>
    <w:rsid w:val="00BF4F22"/>
    <w:rsid w:val="00BF5F40"/>
    <w:rsid w:val="00C22559"/>
    <w:rsid w:val="00C2305E"/>
    <w:rsid w:val="00C25AFC"/>
    <w:rsid w:val="00C2797D"/>
    <w:rsid w:val="00C32E2E"/>
    <w:rsid w:val="00C358EE"/>
    <w:rsid w:val="00C369FF"/>
    <w:rsid w:val="00C47934"/>
    <w:rsid w:val="00C5315E"/>
    <w:rsid w:val="00C536BC"/>
    <w:rsid w:val="00C53B44"/>
    <w:rsid w:val="00C53BA9"/>
    <w:rsid w:val="00C67B1E"/>
    <w:rsid w:val="00C72C01"/>
    <w:rsid w:val="00C75B20"/>
    <w:rsid w:val="00C84D7D"/>
    <w:rsid w:val="00C874CB"/>
    <w:rsid w:val="00C95EDA"/>
    <w:rsid w:val="00CC01D8"/>
    <w:rsid w:val="00CC04BB"/>
    <w:rsid w:val="00CC3044"/>
    <w:rsid w:val="00CD3F07"/>
    <w:rsid w:val="00CD7254"/>
    <w:rsid w:val="00CE64A6"/>
    <w:rsid w:val="00CE72A4"/>
    <w:rsid w:val="00CF20FC"/>
    <w:rsid w:val="00CF6A2B"/>
    <w:rsid w:val="00D14805"/>
    <w:rsid w:val="00D3621F"/>
    <w:rsid w:val="00D40BC3"/>
    <w:rsid w:val="00D47038"/>
    <w:rsid w:val="00D4739D"/>
    <w:rsid w:val="00D7642B"/>
    <w:rsid w:val="00D847BE"/>
    <w:rsid w:val="00D93F42"/>
    <w:rsid w:val="00DA3A92"/>
    <w:rsid w:val="00DB44F9"/>
    <w:rsid w:val="00DB6F4A"/>
    <w:rsid w:val="00DC03D6"/>
    <w:rsid w:val="00DD178B"/>
    <w:rsid w:val="00DD4F04"/>
    <w:rsid w:val="00DE08DD"/>
    <w:rsid w:val="00DE536A"/>
    <w:rsid w:val="00DF674B"/>
    <w:rsid w:val="00DF6B43"/>
    <w:rsid w:val="00E00BC4"/>
    <w:rsid w:val="00E424B9"/>
    <w:rsid w:val="00E50A43"/>
    <w:rsid w:val="00E650C9"/>
    <w:rsid w:val="00E65992"/>
    <w:rsid w:val="00E70F60"/>
    <w:rsid w:val="00E71F3E"/>
    <w:rsid w:val="00E73625"/>
    <w:rsid w:val="00E75455"/>
    <w:rsid w:val="00E84A72"/>
    <w:rsid w:val="00E87DFC"/>
    <w:rsid w:val="00E90A52"/>
    <w:rsid w:val="00E941CE"/>
    <w:rsid w:val="00EC55DF"/>
    <w:rsid w:val="00ED3C71"/>
    <w:rsid w:val="00EF28D2"/>
    <w:rsid w:val="00EF3290"/>
    <w:rsid w:val="00F00B28"/>
    <w:rsid w:val="00F03042"/>
    <w:rsid w:val="00F06F94"/>
    <w:rsid w:val="00F14839"/>
    <w:rsid w:val="00F21B36"/>
    <w:rsid w:val="00F4262A"/>
    <w:rsid w:val="00F52314"/>
    <w:rsid w:val="00F6484C"/>
    <w:rsid w:val="00FA7413"/>
    <w:rsid w:val="00FB2EFB"/>
    <w:rsid w:val="00FC4728"/>
    <w:rsid w:val="00FD17F1"/>
    <w:rsid w:val="00FD60DB"/>
    <w:rsid w:val="00FE610D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C2F6-29D5-46A2-B09D-57C48993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4378</Words>
  <Characters>2496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User</cp:lastModifiedBy>
  <cp:revision>8</cp:revision>
  <cp:lastPrinted>2019-05-23T09:06:00Z</cp:lastPrinted>
  <dcterms:created xsi:type="dcterms:W3CDTF">2019-05-22T09:35:00Z</dcterms:created>
  <dcterms:modified xsi:type="dcterms:W3CDTF">2019-05-24T06:19:00Z</dcterms:modified>
</cp:coreProperties>
</file>