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440E66" w:rsidP="001E1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E179B" w:rsidRPr="00637B50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 xml:space="preserve">Національного агентства з питань запобігання корупції </w:t>
      </w:r>
    </w:p>
    <w:p w:rsidR="00184B03" w:rsidRDefault="001E179B" w:rsidP="00EB78FB">
      <w:pPr>
        <w:rPr>
          <w:rStyle w:val="rvts15"/>
          <w:b/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E75455">
        <w:rPr>
          <w:sz w:val="26"/>
          <w:szCs w:val="26"/>
        </w:rPr>
        <w:t xml:space="preserve">           </w:t>
      </w:r>
      <w:r w:rsidR="005347A4">
        <w:rPr>
          <w:sz w:val="26"/>
          <w:szCs w:val="26"/>
        </w:rPr>
        <w:t>24.05.2019 № 72/19</w:t>
      </w:r>
    </w:p>
    <w:p w:rsidR="00DD2E23" w:rsidRDefault="00DD2E23" w:rsidP="003B00AA">
      <w:pPr>
        <w:tabs>
          <w:tab w:val="left" w:pos="1342"/>
        </w:tabs>
        <w:jc w:val="center"/>
        <w:rPr>
          <w:rStyle w:val="rvts15"/>
          <w:b/>
          <w:sz w:val="26"/>
          <w:szCs w:val="26"/>
        </w:rPr>
      </w:pPr>
    </w:p>
    <w:p w:rsidR="001E179B" w:rsidRPr="0091386E" w:rsidRDefault="001E179B" w:rsidP="003B00AA">
      <w:pPr>
        <w:tabs>
          <w:tab w:val="left" w:pos="1342"/>
        </w:tabs>
        <w:jc w:val="center"/>
        <w:rPr>
          <w:b/>
          <w:szCs w:val="28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91386E">
        <w:rPr>
          <w:rStyle w:val="rvts15"/>
          <w:b/>
          <w:szCs w:val="28"/>
        </w:rPr>
        <w:t xml:space="preserve">проведення конкурсу на </w:t>
      </w:r>
      <w:r w:rsidR="00644E64" w:rsidRPr="0091386E">
        <w:rPr>
          <w:b/>
          <w:szCs w:val="28"/>
        </w:rPr>
        <w:t>зайняття вакантної поса</w:t>
      </w:r>
      <w:r w:rsidR="003B00AA" w:rsidRPr="0091386E">
        <w:rPr>
          <w:b/>
          <w:szCs w:val="28"/>
        </w:rPr>
        <w:t>ди державної служби</w:t>
      </w:r>
      <w:r w:rsidR="003B00AA" w:rsidRPr="0091386E">
        <w:rPr>
          <w:b/>
          <w:szCs w:val="28"/>
        </w:rPr>
        <w:br/>
        <w:t>категорії «Б</w:t>
      </w:r>
      <w:r w:rsidR="00644E64" w:rsidRPr="0091386E">
        <w:rPr>
          <w:b/>
          <w:szCs w:val="28"/>
        </w:rPr>
        <w:t>» -</w:t>
      </w:r>
      <w:r w:rsidR="00FA6231" w:rsidRPr="0091386E">
        <w:rPr>
          <w:b/>
          <w:szCs w:val="28"/>
        </w:rPr>
        <w:t xml:space="preserve"> заступник</w:t>
      </w:r>
      <w:r w:rsidR="0080090B">
        <w:rPr>
          <w:b/>
          <w:szCs w:val="28"/>
        </w:rPr>
        <w:t>а</w:t>
      </w:r>
      <w:r w:rsidR="00FA6231" w:rsidRPr="0091386E">
        <w:rPr>
          <w:b/>
          <w:szCs w:val="28"/>
        </w:rPr>
        <w:t xml:space="preserve"> керівника управління – керівник</w:t>
      </w:r>
      <w:r w:rsidR="0080090B">
        <w:rPr>
          <w:b/>
          <w:szCs w:val="28"/>
        </w:rPr>
        <w:t>а</w:t>
      </w:r>
      <w:r w:rsidR="00FA6231" w:rsidRPr="0091386E">
        <w:rPr>
          <w:b/>
          <w:szCs w:val="28"/>
        </w:rPr>
        <w:t xml:space="preserve"> відділу із забезпечення роботи державних реєстрів НАЗК Управління інформаційно-аналітичних систем та захисту інформації</w:t>
      </w:r>
      <w:r w:rsidR="00FA6231" w:rsidRPr="0091386E">
        <w:rPr>
          <w:szCs w:val="28"/>
        </w:rPr>
        <w:t xml:space="preserve"> </w:t>
      </w:r>
      <w:r w:rsidR="00ED5A02" w:rsidRPr="0091386E">
        <w:rPr>
          <w:b/>
          <w:szCs w:val="28"/>
        </w:rPr>
        <w:t xml:space="preserve">– 1 </w:t>
      </w:r>
      <w:r w:rsidR="00E724FB" w:rsidRPr="0091386E">
        <w:rPr>
          <w:b/>
          <w:szCs w:val="28"/>
        </w:rPr>
        <w:t>штатна по</w:t>
      </w:r>
      <w:r w:rsidR="00ED5A02" w:rsidRPr="0091386E">
        <w:rPr>
          <w:b/>
          <w:szCs w:val="28"/>
        </w:rPr>
        <w:t>сада</w:t>
      </w:r>
    </w:p>
    <w:p w:rsidR="003B00AA" w:rsidRPr="0091386E" w:rsidRDefault="003B00AA" w:rsidP="003B00AA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4017"/>
        <w:gridCol w:w="10299"/>
      </w:tblGrid>
      <w:tr w:rsidR="001E179B" w:rsidTr="00234FE9">
        <w:tc>
          <w:tcPr>
            <w:tcW w:w="147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1E179B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1E179B" w:rsidRDefault="001E179B" w:rsidP="00C53B44">
            <w:pPr>
              <w:pStyle w:val="rvps14"/>
            </w:pPr>
            <w:r>
              <w:t>Посадові обов’язки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FA6231" w:rsidRPr="006B7DBD" w:rsidRDefault="00FA6231" w:rsidP="00FA6231">
            <w:pPr>
              <w:pStyle w:val="ac"/>
              <w:numPr>
                <w:ilvl w:val="0"/>
                <w:numId w:val="15"/>
              </w:numPr>
              <w:rPr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 w:rsidRPr="006B7DBD">
              <w:rPr>
                <w:sz w:val="24"/>
              </w:rPr>
              <w:t>здійснення керівництва діяльності Відділу, забезпечення виконання завдань, покладених на нього; здійснення розподілу обов’язків між працівниками,  забезпечення координації їх діяльності;</w:t>
            </w:r>
          </w:p>
          <w:p w:rsidR="00FA6231" w:rsidRPr="006B7DBD" w:rsidRDefault="00FA6231" w:rsidP="00FA6231">
            <w:pPr>
              <w:pStyle w:val="ac"/>
              <w:numPr>
                <w:ilvl w:val="0"/>
                <w:numId w:val="15"/>
              </w:numPr>
              <w:rPr>
                <w:sz w:val="24"/>
              </w:rPr>
            </w:pPr>
            <w:r w:rsidRPr="006B7DBD">
              <w:rPr>
                <w:sz w:val="24"/>
              </w:rPr>
              <w:t>забезпечення ведення Єдиного державного реєстру осіб, уповноважених на виконання функцій держави або місцевого самоврядування, та Єдиного державного реєстру осіб, які вчинили корупційні або пов’язані з корупцією правопорушення;</w:t>
            </w:r>
          </w:p>
          <w:p w:rsidR="00FA6231" w:rsidRPr="006B7DBD" w:rsidRDefault="00FA6231" w:rsidP="00FA6231">
            <w:pPr>
              <w:pStyle w:val="ac"/>
              <w:numPr>
                <w:ilvl w:val="0"/>
                <w:numId w:val="15"/>
              </w:numPr>
              <w:rPr>
                <w:sz w:val="24"/>
              </w:rPr>
            </w:pPr>
            <w:r w:rsidRPr="006B7DBD">
              <w:rPr>
                <w:sz w:val="24"/>
              </w:rPr>
              <w:t>здійснення керування обліковими записами посадових осіб Національного агентства (створення облікових записів, редагування облікових карток, тощо), проведення налаштувань параметрів Єдиного державного реєстру осіб, уповноважених на виконання функцій держави або місцевого самоврядування;</w:t>
            </w:r>
          </w:p>
          <w:p w:rsidR="00FA6231" w:rsidRPr="006B7DBD" w:rsidRDefault="00FA6231" w:rsidP="00FA6231">
            <w:pPr>
              <w:pStyle w:val="ac"/>
              <w:numPr>
                <w:ilvl w:val="0"/>
                <w:numId w:val="15"/>
              </w:numPr>
              <w:rPr>
                <w:sz w:val="24"/>
              </w:rPr>
            </w:pPr>
            <w:r w:rsidRPr="006B7DBD">
              <w:rPr>
                <w:sz w:val="24"/>
              </w:rPr>
              <w:t>участь у вирішенні організаційних питань доступу Національного агентства до відповідних інформаційних баз даних та реєстрів державних органів;</w:t>
            </w:r>
          </w:p>
          <w:p w:rsidR="00FA6231" w:rsidRPr="006B7DBD" w:rsidRDefault="00FA6231" w:rsidP="00FA6231">
            <w:pPr>
              <w:pStyle w:val="ac"/>
              <w:numPr>
                <w:ilvl w:val="0"/>
                <w:numId w:val="15"/>
              </w:numPr>
              <w:rPr>
                <w:sz w:val="24"/>
              </w:rPr>
            </w:pPr>
            <w:r w:rsidRPr="006B7DBD">
              <w:rPr>
                <w:sz w:val="24"/>
              </w:rPr>
              <w:t>супроводження роботи веб-сайту Національного агентства, у тому числі забезпечення його технічної підтримки;</w:t>
            </w:r>
          </w:p>
          <w:p w:rsidR="00FA6231" w:rsidRPr="006B7DBD" w:rsidRDefault="007031A9" w:rsidP="00FA6231">
            <w:pPr>
              <w:pStyle w:val="ac"/>
              <w:numPr>
                <w:ilvl w:val="0"/>
                <w:numId w:val="15"/>
              </w:numPr>
              <w:rPr>
                <w:sz w:val="24"/>
              </w:rPr>
            </w:pPr>
            <w:r w:rsidRPr="006B7DBD">
              <w:rPr>
                <w:sz w:val="24"/>
              </w:rPr>
              <w:t>організація</w:t>
            </w:r>
            <w:r w:rsidR="00FA6231" w:rsidRPr="006B7DBD">
              <w:rPr>
                <w:sz w:val="24"/>
              </w:rPr>
              <w:t xml:space="preserve"> технічного обслуговування веб-ресурсів Національного агентства із залученням розробників відповідних веб-ресурсів та інших організацій;</w:t>
            </w:r>
          </w:p>
          <w:p w:rsidR="008D63E0" w:rsidRPr="006B7DBD" w:rsidRDefault="00FA6231" w:rsidP="00FA6231">
            <w:pPr>
              <w:pStyle w:val="ac"/>
              <w:numPr>
                <w:ilvl w:val="0"/>
                <w:numId w:val="15"/>
              </w:numPr>
              <w:spacing w:after="80"/>
              <w:ind w:right="124"/>
              <w:rPr>
                <w:rFonts w:eastAsia="Calibri"/>
                <w:sz w:val="24"/>
                <w:lang w:eastAsia="en-US"/>
              </w:rPr>
            </w:pPr>
            <w:r w:rsidRPr="006B7DBD">
              <w:rPr>
                <w:sz w:val="24"/>
              </w:rPr>
              <w:t xml:space="preserve">участь у розробці проектів нормативно-правових актів та участь в опрацюванні  нормативно-правових актів з питань, що </w:t>
            </w:r>
            <w:r w:rsidR="00B36668" w:rsidRPr="006B7DBD">
              <w:rPr>
                <w:sz w:val="24"/>
              </w:rPr>
              <w:t>належать до компетенції Відділу;</w:t>
            </w:r>
          </w:p>
          <w:p w:rsidR="00815ECA" w:rsidRPr="006B7DBD" w:rsidRDefault="00DD2E23" w:rsidP="0037069B">
            <w:pPr>
              <w:pStyle w:val="ac"/>
              <w:numPr>
                <w:ilvl w:val="0"/>
                <w:numId w:val="15"/>
              </w:numPr>
              <w:spacing w:after="80"/>
              <w:ind w:right="124"/>
              <w:rPr>
                <w:rFonts w:eastAsia="Calibri"/>
                <w:sz w:val="24"/>
                <w:lang w:eastAsia="en-US"/>
              </w:rPr>
            </w:pPr>
            <w:r w:rsidRPr="006B7DBD">
              <w:rPr>
                <w:rFonts w:eastAsia="Calibri"/>
                <w:sz w:val="24"/>
                <w:lang w:eastAsia="en-US"/>
              </w:rPr>
              <w:t>організація</w:t>
            </w:r>
            <w:r w:rsidR="00B36668" w:rsidRPr="006B7DBD">
              <w:rPr>
                <w:rFonts w:eastAsia="Calibri"/>
                <w:sz w:val="24"/>
                <w:lang w:eastAsia="en-US"/>
              </w:rPr>
              <w:t xml:space="preserve"> надання технічної допомоги користувачам Реєстрів Національного агентства</w:t>
            </w:r>
            <w:r w:rsidR="00815ECA" w:rsidRPr="006B7DBD">
              <w:rPr>
                <w:rFonts w:eastAsia="Calibri"/>
                <w:sz w:val="24"/>
                <w:lang w:eastAsia="en-US"/>
              </w:rPr>
              <w:t>;</w:t>
            </w:r>
          </w:p>
          <w:p w:rsidR="00815ECA" w:rsidRPr="006B7DBD" w:rsidRDefault="00815ECA" w:rsidP="009F1FA2">
            <w:pPr>
              <w:pStyle w:val="ac"/>
              <w:numPr>
                <w:ilvl w:val="0"/>
                <w:numId w:val="15"/>
              </w:numPr>
              <w:spacing w:after="80"/>
              <w:ind w:right="124"/>
              <w:rPr>
                <w:rFonts w:eastAsia="Calibri"/>
                <w:sz w:val="24"/>
                <w:lang w:eastAsia="en-US"/>
              </w:rPr>
            </w:pPr>
            <w:r w:rsidRPr="006B7DBD">
              <w:rPr>
                <w:rFonts w:eastAsia="Calibri"/>
                <w:sz w:val="24"/>
                <w:lang w:eastAsia="en-US"/>
              </w:rPr>
              <w:t xml:space="preserve">вжиття в межах компетенції заходів із забезпечення </w:t>
            </w:r>
            <w:proofErr w:type="spellStart"/>
            <w:r w:rsidRPr="006B7DBD">
              <w:rPr>
                <w:rFonts w:eastAsia="Calibri"/>
                <w:sz w:val="24"/>
                <w:lang w:eastAsia="en-US"/>
              </w:rPr>
              <w:t>кіберзахисту</w:t>
            </w:r>
            <w:proofErr w:type="spellEnd"/>
            <w:r w:rsidRPr="006B7DBD">
              <w:rPr>
                <w:rFonts w:eastAsia="Calibri"/>
                <w:sz w:val="24"/>
                <w:lang w:eastAsia="en-US"/>
              </w:rPr>
              <w:t xml:space="preserve"> реєстрів Національного агентства спрямованих на запобігання </w:t>
            </w:r>
            <w:proofErr w:type="spellStart"/>
            <w:r w:rsidRPr="006B7DBD">
              <w:rPr>
                <w:rFonts w:eastAsia="Calibri"/>
                <w:sz w:val="24"/>
                <w:lang w:eastAsia="en-US"/>
              </w:rPr>
              <w:t>кіберінцидентам</w:t>
            </w:r>
            <w:proofErr w:type="spellEnd"/>
            <w:r w:rsidRPr="006B7DBD">
              <w:rPr>
                <w:rFonts w:eastAsia="Calibri"/>
                <w:sz w:val="24"/>
                <w:lang w:eastAsia="en-US"/>
              </w:rPr>
              <w:t>, виявлення та захист кібератак, ліквідацію їх наслідків, відновлення сталості і надійності функціонування реєстрів;</w:t>
            </w:r>
          </w:p>
          <w:p w:rsidR="00B36668" w:rsidRPr="00DD2E23" w:rsidRDefault="00815ECA" w:rsidP="00DD2E23">
            <w:pPr>
              <w:pStyle w:val="ac"/>
              <w:numPr>
                <w:ilvl w:val="0"/>
                <w:numId w:val="15"/>
              </w:numPr>
              <w:spacing w:after="80"/>
              <w:ind w:right="124"/>
              <w:rPr>
                <w:rFonts w:eastAsia="Calibri"/>
                <w:sz w:val="24"/>
                <w:lang w:eastAsia="en-US"/>
              </w:rPr>
            </w:pPr>
            <w:r w:rsidRPr="006B7DBD">
              <w:rPr>
                <w:rFonts w:eastAsia="Calibri"/>
                <w:sz w:val="24"/>
                <w:lang w:eastAsia="en-US"/>
              </w:rPr>
              <w:lastRenderedPageBreak/>
              <w:t xml:space="preserve">вжиття в межах </w:t>
            </w:r>
            <w:r w:rsidR="00D45C2C" w:rsidRPr="006B7DBD">
              <w:rPr>
                <w:rFonts w:eastAsia="Calibri"/>
                <w:sz w:val="24"/>
                <w:lang w:eastAsia="en-US"/>
              </w:rPr>
              <w:t>компетенції заходів із забезпечення адміністрування баз даних та впровадження новітніх інформаційно-комунікаційних технологій Р</w:t>
            </w:r>
            <w:r w:rsidR="00DD2E23" w:rsidRPr="006B7DBD">
              <w:rPr>
                <w:rFonts w:eastAsia="Calibri"/>
                <w:sz w:val="24"/>
                <w:lang w:eastAsia="en-US"/>
              </w:rPr>
              <w:t>еєстрів Національного агентства.</w:t>
            </w:r>
          </w:p>
        </w:tc>
      </w:tr>
      <w:tr w:rsidR="00536933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536933" w:rsidRDefault="00536933" w:rsidP="00C53B44">
            <w:pPr>
              <w:pStyle w:val="rvps14"/>
            </w:pPr>
            <w:r>
              <w:lastRenderedPageBreak/>
              <w:t>Умови оплати праці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536933" w:rsidRDefault="00483121" w:rsidP="00CC1D82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посадовий оклад – </w:t>
            </w:r>
            <w:r w:rsidR="00FA6231">
              <w:rPr>
                <w:b/>
              </w:rPr>
              <w:t>13</w:t>
            </w:r>
            <w:r w:rsidR="00A75014">
              <w:rPr>
                <w:b/>
              </w:rPr>
              <w:t xml:space="preserve"> </w:t>
            </w:r>
            <w:r w:rsidR="00FA6231">
              <w:rPr>
                <w:b/>
              </w:rPr>
              <w:t>875</w:t>
            </w:r>
            <w:r w:rsidR="00536933" w:rsidRPr="00C147EF">
              <w:rPr>
                <w:b/>
              </w:rPr>
              <w:t>,</w:t>
            </w:r>
            <w:r w:rsidR="0091386E">
              <w:rPr>
                <w:b/>
              </w:rPr>
              <w:t>0</w:t>
            </w:r>
            <w:r w:rsidR="00536933" w:rsidRPr="00C147EF">
              <w:rPr>
                <w:b/>
              </w:rPr>
              <w:t>0 грн;</w:t>
            </w:r>
          </w:p>
          <w:p w:rsidR="003D5944" w:rsidRPr="003D5944" w:rsidRDefault="003D5944" w:rsidP="003D5944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 w:rsidR="003C3A83"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536933" w:rsidRDefault="00536933" w:rsidP="00044B38">
            <w:pPr>
              <w:pStyle w:val="rvps14"/>
              <w:spacing w:before="0" w:beforeAutospacing="0" w:after="0" w:afterAutospacing="0"/>
            </w:pPr>
            <w:r w:rsidRPr="00C34971">
              <w:t xml:space="preserve">- надбавки </w:t>
            </w:r>
            <w:r w:rsidR="008731F5">
              <w:t>та доплати (відповідно до статей 50,</w:t>
            </w:r>
            <w:r w:rsidRPr="00C34971">
              <w:t xml:space="preserve"> 52 Закону України </w:t>
            </w:r>
            <w:r w:rsidR="00044B38">
              <w:t>«</w:t>
            </w:r>
            <w:r w:rsidRPr="00C34971">
              <w:t>Про державну службу</w:t>
            </w:r>
            <w:r w:rsidR="00044B38">
              <w:t>»</w:t>
            </w:r>
            <w:r w:rsidRPr="00C34971">
              <w:t>)</w:t>
            </w:r>
          </w:p>
        </w:tc>
      </w:tr>
      <w:tr w:rsidR="00536933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536933" w:rsidRDefault="00536933" w:rsidP="00C53B44">
            <w:pPr>
              <w:pStyle w:val="rvps14"/>
            </w:pPr>
            <w:r>
              <w:t>Інформація про строковість</w:t>
            </w:r>
            <w:r w:rsidR="00BF4F22">
              <w:br/>
            </w:r>
            <w:r>
              <w:t xml:space="preserve"> чи безстроковість призначення на посаду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536933" w:rsidRPr="00E979A3" w:rsidRDefault="00DF674B" w:rsidP="00CC1D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1E179B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1E179B" w:rsidRPr="00503299" w:rsidRDefault="001E179B" w:rsidP="00C53B44">
            <w:pPr>
              <w:pStyle w:val="rvps14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1E179B" w:rsidRPr="0092023D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1. Копія паспорта громадянина України.</w:t>
            </w:r>
          </w:p>
          <w:p w:rsidR="001E179B" w:rsidRPr="0092023D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2. Письмова</w:t>
            </w:r>
            <w:r w:rsidR="00DE536A" w:rsidRPr="0092023D">
              <w:rPr>
                <w:spacing w:val="-6"/>
                <w:lang w:val="uk-UA"/>
              </w:rPr>
              <w:t xml:space="preserve"> </w:t>
            </w:r>
            <w:r w:rsidRPr="0092023D">
              <w:rPr>
                <w:spacing w:val="-6"/>
                <w:lang w:val="uk-UA"/>
              </w:rPr>
              <w:t>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1E179B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F6986">
                <w:t>частиною третьою</w:t>
              </w:r>
            </w:hyperlink>
            <w:r w:rsidRPr="0092023D">
              <w:rPr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5F6986">
                <w:t>четвертою</w:t>
              </w:r>
            </w:hyperlink>
            <w:r w:rsidRPr="0092023D">
              <w:rPr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E33AD" w:rsidRDefault="00FC4221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4. </w:t>
            </w:r>
            <w:r w:rsidRPr="005F6986">
              <w:rPr>
                <w:spacing w:val="-6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 w:rsidR="008E33AD">
              <w:rPr>
                <w:spacing w:val="-6"/>
                <w:lang w:val="uk-UA"/>
              </w:rPr>
              <w:t>.</w:t>
            </w:r>
            <w:r w:rsidRPr="005F6986">
              <w:rPr>
                <w:spacing w:val="-6"/>
                <w:lang w:val="uk-UA"/>
              </w:rPr>
              <w:t xml:space="preserve"> </w:t>
            </w:r>
          </w:p>
          <w:p w:rsidR="001E179B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  <w:r w:rsidR="001E179B" w:rsidRPr="0092023D">
              <w:rPr>
                <w:spacing w:val="-6"/>
                <w:lang w:val="uk-UA"/>
              </w:rPr>
              <w:t>.</w:t>
            </w:r>
            <w:r w:rsidR="00960557" w:rsidRPr="0092023D">
              <w:rPr>
                <w:spacing w:val="-6"/>
                <w:lang w:val="uk-UA"/>
              </w:rPr>
              <w:t xml:space="preserve"> </w:t>
            </w:r>
            <w:r w:rsidR="001E179B" w:rsidRPr="0092023D">
              <w:rPr>
                <w:spacing w:val="-6"/>
                <w:lang w:val="uk-UA"/>
              </w:rPr>
              <w:t>Копія (копії) документа (документів) про освіту.</w:t>
            </w:r>
          </w:p>
          <w:p w:rsidR="00DA3A92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="001E179B" w:rsidRPr="0092023D">
              <w:rPr>
                <w:spacing w:val="-6"/>
                <w:lang w:val="uk-UA"/>
              </w:rPr>
              <w:t>. Заповнена особова картка встановленого зразка.</w:t>
            </w:r>
          </w:p>
          <w:p w:rsidR="00DA3A92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7</w:t>
            </w:r>
            <w:r w:rsidR="00DA3A92" w:rsidRPr="0092023D">
              <w:rPr>
                <w:spacing w:val="-6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1E179B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8</w:t>
            </w:r>
            <w:r w:rsidR="001E179B" w:rsidRPr="0092023D">
              <w:rPr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 w:rsidR="00231D60">
              <w:rPr>
                <w:spacing w:val="-6"/>
                <w:lang w:val="uk-UA"/>
              </w:rPr>
              <w:t>8</w:t>
            </w:r>
            <w:r w:rsidR="001E179B" w:rsidRPr="0092023D">
              <w:rPr>
                <w:spacing w:val="-6"/>
                <w:lang w:val="uk-UA"/>
              </w:rPr>
              <w:t xml:space="preserve"> рік</w:t>
            </w:r>
            <w:r w:rsidR="007F1FEA" w:rsidRPr="0092023D">
              <w:rPr>
                <w:spacing w:val="-6"/>
                <w:lang w:val="uk-UA"/>
              </w:rPr>
              <w:t xml:space="preserve"> (надається у вигляді роздрукованого примірника заповненої декларації на офіційному веб-сайті НАЗК)</w:t>
            </w:r>
            <w:r w:rsidR="00F52314" w:rsidRPr="0092023D">
              <w:rPr>
                <w:spacing w:val="-6"/>
                <w:lang w:val="uk-UA"/>
              </w:rPr>
              <w:t>.</w:t>
            </w:r>
          </w:p>
          <w:p w:rsidR="00F4262A" w:rsidRPr="00AF2FAC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Документи приймаються до </w:t>
            </w:r>
            <w:r w:rsidR="00D45C2C" w:rsidRPr="00572389">
              <w:rPr>
                <w:b/>
                <w:color w:val="000000" w:themeColor="text1"/>
                <w:spacing w:val="-6"/>
                <w:lang w:val="uk-UA"/>
              </w:rPr>
              <w:t>16</w:t>
            </w:r>
            <w:r w:rsidRPr="00572389">
              <w:rPr>
                <w:b/>
                <w:color w:val="000000" w:themeColor="text1"/>
                <w:spacing w:val="-6"/>
                <w:lang w:val="uk-UA"/>
              </w:rPr>
              <w:t xml:space="preserve"> год. </w:t>
            </w:r>
            <w:r w:rsidR="00D45C2C" w:rsidRPr="00572389">
              <w:rPr>
                <w:b/>
                <w:color w:val="000000" w:themeColor="text1"/>
                <w:spacing w:val="-6"/>
                <w:lang w:val="uk-UA"/>
              </w:rPr>
              <w:t>45</w:t>
            </w:r>
            <w:r w:rsidR="00C147EF" w:rsidRPr="00572389">
              <w:rPr>
                <w:b/>
                <w:color w:val="000000" w:themeColor="text1"/>
                <w:spacing w:val="-6"/>
                <w:lang w:val="uk-UA"/>
              </w:rPr>
              <w:t xml:space="preserve"> </w:t>
            </w:r>
            <w:r w:rsidRPr="00572389">
              <w:rPr>
                <w:b/>
                <w:color w:val="000000" w:themeColor="text1"/>
                <w:spacing w:val="-6"/>
                <w:lang w:val="uk-UA"/>
              </w:rPr>
              <w:t xml:space="preserve"> хв. </w:t>
            </w:r>
            <w:r w:rsidR="00C147EF" w:rsidRPr="00572389">
              <w:rPr>
                <w:b/>
                <w:color w:val="000000" w:themeColor="text1"/>
                <w:spacing w:val="-6"/>
                <w:lang w:val="uk-UA"/>
              </w:rPr>
              <w:t>1</w:t>
            </w:r>
            <w:r w:rsidR="00D45C2C" w:rsidRPr="00572389">
              <w:rPr>
                <w:b/>
                <w:color w:val="000000" w:themeColor="text1"/>
                <w:spacing w:val="-6"/>
                <w:lang w:val="uk-UA"/>
              </w:rPr>
              <w:t>4</w:t>
            </w:r>
            <w:r w:rsidR="00C147EF" w:rsidRPr="00572389">
              <w:rPr>
                <w:b/>
                <w:color w:val="000000" w:themeColor="text1"/>
                <w:spacing w:val="-6"/>
                <w:lang w:val="uk-UA"/>
              </w:rPr>
              <w:t xml:space="preserve"> </w:t>
            </w:r>
            <w:r w:rsidR="00D45C2C" w:rsidRPr="00572389">
              <w:rPr>
                <w:b/>
                <w:color w:val="000000" w:themeColor="text1"/>
                <w:spacing w:val="-6"/>
                <w:lang w:val="uk-UA"/>
              </w:rPr>
              <w:t>червня</w:t>
            </w:r>
            <w:r w:rsidR="0092023D" w:rsidRPr="00572389">
              <w:rPr>
                <w:b/>
                <w:color w:val="000000" w:themeColor="text1"/>
                <w:spacing w:val="-6"/>
                <w:lang w:val="uk-UA"/>
              </w:rPr>
              <w:t xml:space="preserve"> </w:t>
            </w:r>
            <w:r w:rsidR="005B09FC">
              <w:rPr>
                <w:b/>
                <w:spacing w:val="-6"/>
                <w:lang w:val="uk-UA"/>
              </w:rPr>
              <w:t>2019</w:t>
            </w:r>
            <w:r w:rsidR="007F1FEA" w:rsidRPr="00AF2FAC">
              <w:rPr>
                <w:b/>
                <w:spacing w:val="-6"/>
                <w:lang w:val="uk-UA"/>
              </w:rPr>
              <w:t xml:space="preserve"> </w:t>
            </w:r>
            <w:r w:rsidR="00CC04BB" w:rsidRPr="00AF2FAC">
              <w:rPr>
                <w:b/>
                <w:spacing w:val="-6"/>
                <w:lang w:val="uk-UA"/>
              </w:rPr>
              <w:t>року</w:t>
            </w:r>
            <w:r w:rsidR="007F1FEA" w:rsidRPr="00AF2FAC">
              <w:rPr>
                <w:b/>
                <w:spacing w:val="-6"/>
                <w:lang w:val="uk-UA"/>
              </w:rPr>
              <w:t>.</w:t>
            </w:r>
          </w:p>
          <w:p w:rsidR="001E179B" w:rsidRPr="0092023D" w:rsidRDefault="00F4262A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за </w:t>
            </w:r>
            <w:r w:rsidR="006C6E97" w:rsidRPr="00AF2FAC">
              <w:rPr>
                <w:b/>
                <w:spacing w:val="-6"/>
                <w:lang w:val="uk-UA"/>
              </w:rPr>
              <w:t>адресою</w:t>
            </w:r>
            <w:r w:rsidR="006C6E97" w:rsidRPr="005F6986">
              <w:rPr>
                <w:spacing w:val="-6"/>
                <w:lang w:val="uk-UA"/>
              </w:rPr>
              <w:t xml:space="preserve">: </w:t>
            </w:r>
            <w:r w:rsidR="006C6E97" w:rsidRPr="00AF2FAC">
              <w:rPr>
                <w:b/>
                <w:spacing w:val="-6"/>
                <w:lang w:val="uk-UA"/>
              </w:rPr>
              <w:t>м. Київ, Дружби народів, 28</w:t>
            </w:r>
            <w:r w:rsidR="00617C74" w:rsidRPr="00AF2FAC">
              <w:rPr>
                <w:b/>
                <w:spacing w:val="-6"/>
                <w:lang w:val="uk-UA"/>
              </w:rPr>
              <w:t xml:space="preserve"> </w:t>
            </w:r>
            <w:r w:rsidRPr="00AF2FAC">
              <w:rPr>
                <w:b/>
                <w:spacing w:val="-6"/>
                <w:lang w:val="uk-UA"/>
              </w:rPr>
              <w:t>(скринька для вхідної кореспонденції при вході у приміщення)</w:t>
            </w:r>
            <w:r w:rsidR="002C28FB" w:rsidRPr="00AF2FAC">
              <w:rPr>
                <w:b/>
                <w:spacing w:val="-6"/>
                <w:lang w:val="uk-UA"/>
              </w:rPr>
              <w:t>.</w:t>
            </w:r>
          </w:p>
        </w:tc>
      </w:tr>
      <w:tr w:rsidR="0066296E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66296E" w:rsidRPr="00503299" w:rsidRDefault="00891A48" w:rsidP="00891A48">
            <w:pPr>
              <w:pStyle w:val="rvps14"/>
            </w:pPr>
            <w:r>
              <w:t>М</w:t>
            </w:r>
            <w:r w:rsidR="0066296E" w:rsidRPr="00503299">
              <w:t>ісце</w:t>
            </w:r>
            <w:r w:rsidR="007F1FEA">
              <w:t xml:space="preserve">, </w:t>
            </w:r>
            <w:r>
              <w:t>час</w:t>
            </w:r>
            <w:r w:rsidR="00DB6F4A">
              <w:t xml:space="preserve"> </w:t>
            </w:r>
            <w:r w:rsidR="007F1FEA">
              <w:t xml:space="preserve">та дата </w:t>
            </w:r>
            <w:r w:rsidR="00DB6F4A">
              <w:t>початку</w:t>
            </w:r>
            <w:r w:rsidR="0066296E" w:rsidRPr="00503299">
              <w:t xml:space="preserve"> проведення конкурсу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96E" w:rsidRPr="0092023D" w:rsidRDefault="00572389" w:rsidP="00572389">
            <w:pPr>
              <w:pStyle w:val="a4"/>
              <w:spacing w:before="0" w:beforeAutospacing="0" w:after="0" w:afterAutospacing="0" w:line="276" w:lineRule="auto"/>
              <w:jc w:val="both"/>
              <w:rPr>
                <w:spacing w:val="-6"/>
                <w:lang w:val="uk-UA" w:eastAsia="en-US"/>
              </w:rPr>
            </w:pPr>
            <w:r w:rsidRPr="00572389">
              <w:rPr>
                <w:color w:val="000000" w:themeColor="text1"/>
                <w:spacing w:val="-6"/>
                <w:lang w:val="uk-UA" w:eastAsia="en-US"/>
              </w:rPr>
              <w:t>21</w:t>
            </w:r>
            <w:r w:rsidR="008E33AD" w:rsidRPr="00572389">
              <w:rPr>
                <w:color w:val="000000" w:themeColor="text1"/>
                <w:spacing w:val="-6"/>
                <w:lang w:val="uk-UA" w:eastAsia="en-US"/>
              </w:rPr>
              <w:t xml:space="preserve"> </w:t>
            </w:r>
            <w:r w:rsidRPr="00572389">
              <w:rPr>
                <w:color w:val="000000" w:themeColor="text1"/>
                <w:spacing w:val="-6"/>
                <w:lang w:val="uk-UA" w:eastAsia="en-US"/>
              </w:rPr>
              <w:t>черв</w:t>
            </w:r>
            <w:r w:rsidR="00C147EF" w:rsidRPr="00572389">
              <w:rPr>
                <w:color w:val="000000" w:themeColor="text1"/>
                <w:spacing w:val="-6"/>
                <w:lang w:val="uk-UA" w:eastAsia="en-US"/>
              </w:rPr>
              <w:t>ня</w:t>
            </w:r>
            <w:r w:rsidR="00DA3A92" w:rsidRPr="00572389">
              <w:rPr>
                <w:color w:val="000000" w:themeColor="text1"/>
                <w:spacing w:val="-6"/>
                <w:lang w:val="uk-UA" w:eastAsia="en-US"/>
              </w:rPr>
              <w:t xml:space="preserve"> </w:t>
            </w:r>
            <w:r w:rsidR="005B09FC">
              <w:rPr>
                <w:spacing w:val="-6"/>
                <w:lang w:val="uk-UA" w:eastAsia="en-US"/>
              </w:rPr>
              <w:t>2019</w:t>
            </w:r>
            <w:r w:rsidR="0066296E" w:rsidRPr="0092023D">
              <w:rPr>
                <w:spacing w:val="-6"/>
                <w:lang w:val="uk-UA" w:eastAsia="en-US"/>
              </w:rPr>
              <w:t xml:space="preserve"> року м. Ки</w:t>
            </w:r>
            <w:r w:rsidR="007E48B8" w:rsidRPr="0092023D">
              <w:rPr>
                <w:spacing w:val="-6"/>
                <w:lang w:val="uk-UA" w:eastAsia="en-US"/>
              </w:rPr>
              <w:t xml:space="preserve">їв, бульвар Дружби народів, 28 </w:t>
            </w:r>
            <w:r w:rsidR="0066296E" w:rsidRPr="0092023D">
              <w:rPr>
                <w:spacing w:val="-6"/>
                <w:lang w:val="uk-UA" w:eastAsia="en-US"/>
              </w:rPr>
              <w:t>-</w:t>
            </w:r>
            <w:r w:rsidR="007E48B8" w:rsidRPr="0092023D">
              <w:rPr>
                <w:spacing w:val="-6"/>
                <w:lang w:val="uk-UA" w:eastAsia="en-US"/>
              </w:rPr>
              <w:t xml:space="preserve"> електронне</w:t>
            </w:r>
            <w:r w:rsidR="0066296E" w:rsidRPr="0092023D">
              <w:rPr>
                <w:spacing w:val="-6"/>
                <w:lang w:val="uk-UA" w:eastAsia="en-US"/>
              </w:rPr>
              <w:t xml:space="preserve"> тестування (про час буде поінформовано додатково</w:t>
            </w:r>
            <w:r w:rsidR="002C28FB" w:rsidRPr="0092023D">
              <w:rPr>
                <w:spacing w:val="-6"/>
                <w:lang w:val="uk-UA" w:eastAsia="en-US"/>
              </w:rPr>
              <w:t>).</w:t>
            </w:r>
          </w:p>
        </w:tc>
      </w:tr>
      <w:tr w:rsidR="0066296E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66296E" w:rsidRPr="00503299" w:rsidRDefault="0066296E" w:rsidP="0066296E">
            <w:pPr>
              <w:pStyle w:val="rvps14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66296E" w:rsidRPr="002279BE" w:rsidRDefault="0066296E" w:rsidP="0066296E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</w:t>
            </w:r>
            <w:r w:rsidR="00916C3A">
              <w:rPr>
                <w:lang w:val="uk-UA"/>
              </w:rPr>
              <w:t>.</w:t>
            </w:r>
            <w:r>
              <w:rPr>
                <w:lang w:val="uk-UA"/>
              </w:rPr>
              <w:t xml:space="preserve">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66296E" w:rsidRPr="00503299" w:rsidTr="00234FE9">
        <w:tc>
          <w:tcPr>
            <w:tcW w:w="147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6296E" w:rsidRPr="00EF28D2" w:rsidRDefault="00477942" w:rsidP="0066296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</w:t>
            </w:r>
            <w:r w:rsidR="0066296E" w:rsidRPr="00EF28D2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C5315E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5315E" w:rsidRPr="00503299" w:rsidRDefault="00234FE9" w:rsidP="00360366">
            <w:pPr>
              <w:pStyle w:val="rvps12"/>
            </w:pPr>
            <w:r>
              <w:lastRenderedPageBreak/>
              <w:t xml:space="preserve">  </w:t>
            </w:r>
            <w:r w:rsidR="00C5315E">
              <w:t>1.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5315E" w:rsidRPr="00503299" w:rsidRDefault="00C5315E" w:rsidP="00C5315E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5315E" w:rsidRPr="00503299" w:rsidRDefault="003B00AA" w:rsidP="00FA6231">
            <w:pPr>
              <w:pStyle w:val="rvps14"/>
            </w:pPr>
            <w:r>
              <w:t xml:space="preserve">Вища освіта за освітнім ступенем не нижче магістра </w:t>
            </w:r>
          </w:p>
        </w:tc>
      </w:tr>
      <w:tr w:rsidR="00C5315E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5315E" w:rsidRPr="00503299" w:rsidRDefault="00234FE9" w:rsidP="00C5315E">
            <w:pPr>
              <w:pStyle w:val="rvps12"/>
            </w:pPr>
            <w:r>
              <w:t xml:space="preserve">  </w:t>
            </w:r>
            <w:r w:rsidR="00C5315E">
              <w:t xml:space="preserve">2.   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5315E" w:rsidRPr="00503299" w:rsidRDefault="00C5315E" w:rsidP="00360366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5315E" w:rsidRPr="00503299" w:rsidRDefault="00184B03" w:rsidP="0066296E">
            <w:pPr>
              <w:pStyle w:val="rvps14"/>
            </w:pPr>
            <w:r>
              <w:t>Досвід роботи 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5315E" w:rsidRPr="00503299" w:rsidTr="00234FE9">
        <w:trPr>
          <w:trHeight w:val="392"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5315E" w:rsidRPr="00503299" w:rsidRDefault="00234FE9" w:rsidP="00C5315E">
            <w:pPr>
              <w:pStyle w:val="rvps12"/>
            </w:pPr>
            <w:r>
              <w:t xml:space="preserve">  </w:t>
            </w:r>
            <w:r w:rsidR="00C5315E">
              <w:t>3.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5315E" w:rsidRPr="00503299" w:rsidRDefault="00C5315E" w:rsidP="00360366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5315E" w:rsidRDefault="00C5315E" w:rsidP="0066296E">
            <w:pPr>
              <w:pStyle w:val="rvps14"/>
              <w:rPr>
                <w:rStyle w:val="rvts0"/>
              </w:rPr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  <w:p w:rsidR="008E33AD" w:rsidRPr="00503299" w:rsidRDefault="008E33AD" w:rsidP="0066296E">
            <w:pPr>
              <w:pStyle w:val="rvps14"/>
            </w:pPr>
          </w:p>
        </w:tc>
      </w:tr>
    </w:tbl>
    <w:p w:rsidR="006538B1" w:rsidRDefault="006538B1" w:rsidP="00E90A52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4"/>
        <w:gridCol w:w="4177"/>
        <w:gridCol w:w="10122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416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29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1.</w:t>
            </w:r>
          </w:p>
        </w:tc>
        <w:tc>
          <w:tcPr>
            <w:tcW w:w="1395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416" w:type="pct"/>
          </w:tcPr>
          <w:p w:rsidR="006538B1" w:rsidRPr="00A674C1" w:rsidRDefault="006538B1" w:rsidP="006538B1">
            <w:pPr>
              <w:ind w:firstLine="0"/>
              <w:jc w:val="left"/>
              <w:rPr>
                <w:color w:val="000000"/>
                <w:sz w:val="24"/>
                <w:lang w:val="en-US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  <w:r w:rsidR="00A674C1">
              <w:rPr>
                <w:color w:val="000000"/>
                <w:sz w:val="24"/>
              </w:rPr>
              <w:t xml:space="preserve">, </w:t>
            </w:r>
            <w:r w:rsidR="00A674C1">
              <w:rPr>
                <w:color w:val="000000"/>
                <w:sz w:val="24"/>
                <w:lang w:val="en-US"/>
              </w:rPr>
              <w:t>Outlook Express</w:t>
            </w:r>
          </w:p>
          <w:p w:rsidR="00DD178B" w:rsidRPr="00AD2A5F" w:rsidRDefault="00DD178B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DD178B">
              <w:rPr>
                <w:rFonts w:eastAsiaTheme="minorHAnsi"/>
                <w:sz w:val="24"/>
                <w:lang w:eastAsia="en-US"/>
              </w:rPr>
              <w:t>навички роботи з інформаційно-пошуковими системами в мережі Інтернет</w:t>
            </w:r>
            <w:r w:rsidR="00DD7E70">
              <w:rPr>
                <w:rFonts w:eastAsiaTheme="minorHAnsi"/>
                <w:sz w:val="24"/>
                <w:lang w:eastAsia="en-US"/>
              </w:rPr>
              <w:t>, базові знання та принципи роботи СКБД та серверних ОС</w:t>
            </w:r>
          </w:p>
          <w:p w:rsidR="005F6986" w:rsidRPr="006538B1" w:rsidRDefault="005F6986" w:rsidP="00A674C1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2.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416" w:type="pct"/>
          </w:tcPr>
          <w:p w:rsidR="005A6F5F" w:rsidRDefault="005A6F5F" w:rsidP="00514729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12E4B">
              <w:rPr>
                <w:sz w:val="24"/>
              </w:rPr>
              <w:t>аналітичні здібності, лідерські я</w:t>
            </w:r>
            <w:r w:rsidR="009048B9">
              <w:rPr>
                <w:sz w:val="24"/>
              </w:rPr>
              <w:t>кості</w:t>
            </w:r>
            <w:r w:rsidRPr="00E12E4B">
              <w:rPr>
                <w:sz w:val="24"/>
              </w:rPr>
              <w:t xml:space="preserve">, </w:t>
            </w:r>
            <w:r w:rsidR="00A674C1">
              <w:rPr>
                <w:sz w:val="24"/>
              </w:rPr>
              <w:t xml:space="preserve">вміння розподіляти роботу, </w:t>
            </w:r>
            <w:r w:rsidRPr="00E12E4B">
              <w:rPr>
                <w:sz w:val="24"/>
              </w:rPr>
              <w:t>виваженість, здатність концентруватись на деталях, адаптивність, вміння вести перем</w:t>
            </w:r>
            <w:r w:rsidR="009048B9">
              <w:rPr>
                <w:sz w:val="24"/>
              </w:rPr>
              <w:t>овини</w:t>
            </w:r>
            <w:r w:rsidRPr="00E12E4B">
              <w:rPr>
                <w:sz w:val="24"/>
              </w:rPr>
              <w:t xml:space="preserve">, </w:t>
            </w:r>
            <w:r w:rsidR="00A674C1">
              <w:rPr>
                <w:sz w:val="24"/>
              </w:rPr>
              <w:t xml:space="preserve">організаторські здібності, </w:t>
            </w:r>
            <w:r w:rsidRPr="00E12E4B">
              <w:rPr>
                <w:sz w:val="24"/>
              </w:rPr>
              <w:t>стресостійкість, вимогливість, вміння визначати пріоритети, вміння аргументовано доводити власну точку з</w:t>
            </w:r>
            <w:r w:rsidR="009048B9">
              <w:rPr>
                <w:sz w:val="24"/>
              </w:rPr>
              <w:t>ору</w:t>
            </w:r>
            <w:r w:rsidR="00514729">
              <w:rPr>
                <w:sz w:val="24"/>
              </w:rPr>
              <w:t>, уміння працювати в команді</w:t>
            </w:r>
          </w:p>
          <w:p w:rsidR="005F6986" w:rsidRPr="00E12E4B" w:rsidRDefault="005F6986" w:rsidP="00514729">
            <w:pPr>
              <w:pStyle w:val="ac"/>
              <w:ind w:left="57" w:hanging="44"/>
              <w:rPr>
                <w:sz w:val="24"/>
              </w:rPr>
            </w:pP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3.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особистісні якості</w:t>
            </w:r>
          </w:p>
        </w:tc>
        <w:tc>
          <w:tcPr>
            <w:tcW w:w="3416" w:type="pct"/>
          </w:tcPr>
          <w:p w:rsidR="005A6F5F" w:rsidRDefault="005A6F5F" w:rsidP="005A6F5F">
            <w:pPr>
              <w:spacing w:before="60" w:after="60"/>
              <w:ind w:left="57" w:hanging="44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 xml:space="preserve">ініціативність, порядність, дисциплінованість, готовність допомогти, контроль емоцій, </w:t>
            </w: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>комунікабельність, повага до інших, відповідальність</w:t>
            </w:r>
          </w:p>
          <w:p w:rsidR="008E33AD" w:rsidRPr="00E12E4B" w:rsidRDefault="008E33AD" w:rsidP="005A6F5F">
            <w:pPr>
              <w:spacing w:before="60" w:after="60"/>
              <w:ind w:left="57" w:hanging="44"/>
              <w:rPr>
                <w:sz w:val="24"/>
                <w:lang w:eastAsia="uk-UA"/>
              </w:rPr>
            </w:pPr>
          </w:p>
        </w:tc>
      </w:tr>
      <w:tr w:rsidR="005A6F5F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5A6F5F" w:rsidRPr="006538B1" w:rsidRDefault="005A6F5F" w:rsidP="005A6F5F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416" w:type="pct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5A6F5F" w:rsidRPr="006538B1" w:rsidTr="005E5973">
        <w:trPr>
          <w:trHeight w:val="870"/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1.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416" w:type="pct"/>
          </w:tcPr>
          <w:p w:rsidR="005A6F5F" w:rsidRPr="006538B1" w:rsidRDefault="005347A4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8" w:tgtFrame="_top" w:history="1">
              <w:r w:rsidR="005A6F5F" w:rsidRPr="006538B1">
                <w:rPr>
                  <w:color w:val="000000"/>
                  <w:sz w:val="24"/>
                </w:rPr>
                <w:t>Конституція України</w:t>
              </w:r>
            </w:hyperlink>
            <w:r w:rsidR="005A6F5F" w:rsidRPr="006538B1">
              <w:rPr>
                <w:color w:val="000000"/>
                <w:sz w:val="24"/>
              </w:rPr>
              <w:t>;</w:t>
            </w:r>
          </w:p>
          <w:p w:rsidR="005A6F5F" w:rsidRPr="006538B1" w:rsidRDefault="005347A4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9" w:tgtFrame="_top" w:history="1">
              <w:r w:rsidR="005A6F5F" w:rsidRPr="006538B1">
                <w:rPr>
                  <w:color w:val="000000"/>
                  <w:sz w:val="24"/>
                </w:rPr>
                <w:t>Закон України «Про державну службу</w:t>
              </w:r>
            </w:hyperlink>
            <w:r w:rsidR="005A6F5F" w:rsidRPr="006538B1">
              <w:rPr>
                <w:rFonts w:cs="Calibri"/>
                <w:sz w:val="24"/>
                <w:lang w:eastAsia="en-US"/>
              </w:rPr>
              <w:t>»</w:t>
            </w:r>
            <w:r w:rsidR="005A6F5F" w:rsidRPr="006538B1">
              <w:rPr>
                <w:color w:val="000000"/>
                <w:sz w:val="24"/>
              </w:rPr>
              <w:t>;</w:t>
            </w:r>
          </w:p>
          <w:p w:rsidR="005A6F5F" w:rsidRPr="006538B1" w:rsidRDefault="005347A4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szCs w:val="22"/>
                <w:lang w:eastAsia="en-US"/>
              </w:rPr>
            </w:pPr>
            <w:hyperlink r:id="rId10" w:tgtFrame="_top" w:history="1">
              <w:r w:rsidR="005A6F5F" w:rsidRPr="006538B1">
                <w:rPr>
                  <w:color w:val="000000"/>
                  <w:sz w:val="24"/>
                </w:rPr>
                <w:t>Закон України «Про запобігання корупції</w:t>
              </w:r>
            </w:hyperlink>
            <w:r w:rsidR="005A6F5F" w:rsidRPr="006538B1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EF3290" w:rsidRPr="006538B1" w:rsidTr="005E5973">
        <w:trPr>
          <w:trHeight w:val="334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2.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 xml:space="preserve">Знання спеціального законодавства, що пов'язане із завданнями та змістом </w:t>
            </w:r>
            <w:r w:rsidRPr="006538B1">
              <w:rPr>
                <w:color w:val="000000"/>
                <w:sz w:val="24"/>
              </w:rPr>
              <w:lastRenderedPageBreak/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D" w:rsidRDefault="0052544D" w:rsidP="0052544D">
            <w:pPr>
              <w:numPr>
                <w:ilvl w:val="0"/>
                <w:numId w:val="9"/>
              </w:numPr>
              <w:spacing w:after="80"/>
              <w:ind w:left="443" w:hanging="425"/>
              <w:contextualSpacing/>
              <w:jc w:val="left"/>
              <w:rPr>
                <w:color w:val="000000"/>
                <w:sz w:val="24"/>
              </w:rPr>
            </w:pPr>
            <w:r w:rsidRPr="008B6265">
              <w:rPr>
                <w:color w:val="000000"/>
                <w:sz w:val="24"/>
              </w:rPr>
              <w:lastRenderedPageBreak/>
              <w:t xml:space="preserve">Закон України </w:t>
            </w:r>
            <w:r w:rsidR="00DD7E70">
              <w:rPr>
                <w:color w:val="000000"/>
                <w:sz w:val="24"/>
              </w:rPr>
              <w:t>«Про електронні довірчі послуги</w:t>
            </w:r>
            <w:r w:rsidRPr="008B6265">
              <w:rPr>
                <w:color w:val="000000"/>
                <w:sz w:val="24"/>
              </w:rPr>
              <w:t>»;</w:t>
            </w:r>
          </w:p>
          <w:p w:rsidR="0052544D" w:rsidRDefault="0052544D" w:rsidP="0052544D">
            <w:pPr>
              <w:numPr>
                <w:ilvl w:val="0"/>
                <w:numId w:val="9"/>
              </w:numPr>
              <w:spacing w:after="80"/>
              <w:ind w:left="443" w:hanging="425"/>
              <w:contextualSpacing/>
              <w:jc w:val="left"/>
              <w:rPr>
                <w:color w:val="000000"/>
                <w:sz w:val="24"/>
              </w:rPr>
            </w:pPr>
            <w:r w:rsidRPr="008B6265">
              <w:rPr>
                <w:color w:val="000000"/>
                <w:sz w:val="24"/>
              </w:rPr>
              <w:t>Закон України «Про захист інформації в інформаційно-телекомунікаційних системах»;</w:t>
            </w:r>
          </w:p>
          <w:p w:rsidR="0052544D" w:rsidRPr="00E4112C" w:rsidRDefault="0052544D" w:rsidP="0052544D">
            <w:pPr>
              <w:numPr>
                <w:ilvl w:val="0"/>
                <w:numId w:val="9"/>
              </w:numPr>
              <w:spacing w:after="80"/>
              <w:ind w:left="443" w:hanging="425"/>
              <w:contextualSpacing/>
              <w:jc w:val="left"/>
              <w:rPr>
                <w:color w:val="000000"/>
                <w:sz w:val="24"/>
              </w:rPr>
            </w:pPr>
            <w:r w:rsidRPr="00B53000">
              <w:rPr>
                <w:rFonts w:eastAsiaTheme="minorEastAsia"/>
                <w:bCs/>
                <w:sz w:val="24"/>
              </w:rPr>
              <w:lastRenderedPageBreak/>
              <w:t>Закон України «Про захист персональних даних»;</w:t>
            </w:r>
          </w:p>
          <w:p w:rsidR="00EF3290" w:rsidRPr="0091386E" w:rsidRDefault="0052544D" w:rsidP="0091386E">
            <w:pPr>
              <w:numPr>
                <w:ilvl w:val="0"/>
                <w:numId w:val="9"/>
              </w:numPr>
              <w:spacing w:after="80"/>
              <w:ind w:left="443" w:hanging="425"/>
              <w:contextualSpacing/>
              <w:jc w:val="left"/>
              <w:rPr>
                <w:sz w:val="24"/>
              </w:rPr>
            </w:pPr>
            <w:r w:rsidRPr="0091386E">
              <w:rPr>
                <w:color w:val="000000"/>
                <w:sz w:val="24"/>
              </w:rPr>
              <w:t>Закон України "Про Національну програму інформатизації".</w:t>
            </w:r>
          </w:p>
        </w:tc>
      </w:tr>
      <w:tr w:rsidR="00EF3290" w:rsidRPr="006538B1" w:rsidTr="005E5973">
        <w:trPr>
          <w:trHeight w:val="465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3.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416" w:type="pct"/>
          </w:tcPr>
          <w:p w:rsidR="0052544D" w:rsidRDefault="0052544D" w:rsidP="0052544D">
            <w:pPr>
              <w:numPr>
                <w:ilvl w:val="0"/>
                <w:numId w:val="8"/>
              </w:numPr>
              <w:spacing w:line="276" w:lineRule="auto"/>
              <w:ind w:left="585" w:hanging="56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практика застосування Закону України «Про запобігання корупції»;</w:t>
            </w:r>
          </w:p>
          <w:p w:rsidR="0052544D" w:rsidRPr="008B6265" w:rsidRDefault="0052544D" w:rsidP="0052544D">
            <w:pPr>
              <w:numPr>
                <w:ilvl w:val="0"/>
                <w:numId w:val="8"/>
              </w:numPr>
              <w:spacing w:line="276" w:lineRule="auto"/>
              <w:ind w:left="585" w:hanging="560"/>
              <w:jc w:val="left"/>
              <w:rPr>
                <w:sz w:val="24"/>
              </w:rPr>
            </w:pPr>
            <w:r>
              <w:rPr>
                <w:sz w:val="24"/>
              </w:rPr>
              <w:t>практика  використання та налагодження програмного</w:t>
            </w:r>
            <w:r w:rsidRPr="008B6265">
              <w:rPr>
                <w:sz w:val="24"/>
              </w:rPr>
              <w:t xml:space="preserve"> забезпечення;</w:t>
            </w:r>
          </w:p>
          <w:p w:rsidR="0052544D" w:rsidRPr="008B6265" w:rsidRDefault="0052544D" w:rsidP="0052544D">
            <w:pPr>
              <w:numPr>
                <w:ilvl w:val="0"/>
                <w:numId w:val="8"/>
              </w:numPr>
              <w:spacing w:line="276" w:lineRule="auto"/>
              <w:ind w:left="585" w:hanging="560"/>
              <w:jc w:val="left"/>
              <w:rPr>
                <w:sz w:val="24"/>
              </w:rPr>
            </w:pPr>
            <w:r>
              <w:rPr>
                <w:sz w:val="24"/>
              </w:rPr>
              <w:t>практика використання та налагодження роботи комп’ютерної техніки</w:t>
            </w:r>
            <w:r w:rsidRPr="008B6265">
              <w:rPr>
                <w:sz w:val="24"/>
              </w:rPr>
              <w:t>;</w:t>
            </w:r>
          </w:p>
          <w:p w:rsidR="0052544D" w:rsidRDefault="0052544D" w:rsidP="0052544D">
            <w:pPr>
              <w:numPr>
                <w:ilvl w:val="0"/>
                <w:numId w:val="8"/>
              </w:numPr>
              <w:spacing w:line="276" w:lineRule="auto"/>
              <w:ind w:left="585" w:hanging="560"/>
              <w:jc w:val="left"/>
              <w:rPr>
                <w:sz w:val="24"/>
              </w:rPr>
            </w:pPr>
            <w:r>
              <w:rPr>
                <w:sz w:val="24"/>
              </w:rPr>
              <w:t>практика  у сфері захисту інформації;</w:t>
            </w:r>
          </w:p>
          <w:p w:rsidR="00631C35" w:rsidRPr="008C282F" w:rsidRDefault="0052544D" w:rsidP="0052544D">
            <w:pPr>
              <w:numPr>
                <w:ilvl w:val="0"/>
                <w:numId w:val="8"/>
              </w:numPr>
              <w:spacing w:line="276" w:lineRule="auto"/>
              <w:ind w:left="244" w:hanging="2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92292B">
              <w:rPr>
                <w:sz w:val="24"/>
              </w:rPr>
              <w:t>практика у сфері забезпечення роботи державних реєстрів.</w:t>
            </w:r>
          </w:p>
        </w:tc>
      </w:tr>
    </w:tbl>
    <w:p w:rsidR="00E90A52" w:rsidRDefault="00E90A52" w:rsidP="00E90A52">
      <w:pPr>
        <w:ind w:firstLine="0"/>
        <w:jc w:val="left"/>
        <w:rPr>
          <w:bCs/>
          <w:szCs w:val="28"/>
        </w:rPr>
      </w:pPr>
    </w:p>
    <w:p w:rsidR="005B09FC" w:rsidRDefault="005B09FC" w:rsidP="00E90A52">
      <w:pPr>
        <w:ind w:firstLine="0"/>
        <w:jc w:val="left"/>
        <w:rPr>
          <w:bCs/>
          <w:szCs w:val="28"/>
        </w:rPr>
      </w:pPr>
      <w:bookmarkStart w:id="2" w:name="_GoBack"/>
      <w:bookmarkEnd w:id="2"/>
    </w:p>
    <w:sectPr w:rsidR="005B09FC" w:rsidSect="00184B03">
      <w:pgSz w:w="16838" w:h="11906" w:orient="landscape"/>
      <w:pgMar w:top="568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60597A"/>
    <w:multiLevelType w:val="hybridMultilevel"/>
    <w:tmpl w:val="B2C8275A"/>
    <w:lvl w:ilvl="0" w:tplc="0CB27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C221F"/>
    <w:multiLevelType w:val="hybridMultilevel"/>
    <w:tmpl w:val="A5EE33F8"/>
    <w:lvl w:ilvl="0" w:tplc="68BC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772D"/>
    <w:rsid w:val="00025045"/>
    <w:rsid w:val="00036591"/>
    <w:rsid w:val="00042786"/>
    <w:rsid w:val="00044B38"/>
    <w:rsid w:val="000522DE"/>
    <w:rsid w:val="000553AD"/>
    <w:rsid w:val="0007248A"/>
    <w:rsid w:val="00083973"/>
    <w:rsid w:val="000A3DC3"/>
    <w:rsid w:val="000C2F47"/>
    <w:rsid w:val="000C432A"/>
    <w:rsid w:val="000C79C3"/>
    <w:rsid w:val="000E1A18"/>
    <w:rsid w:val="000F2F2E"/>
    <w:rsid w:val="000F3E45"/>
    <w:rsid w:val="0011264E"/>
    <w:rsid w:val="0012467A"/>
    <w:rsid w:val="001262B4"/>
    <w:rsid w:val="00126BE5"/>
    <w:rsid w:val="00133098"/>
    <w:rsid w:val="0013672B"/>
    <w:rsid w:val="00152AAD"/>
    <w:rsid w:val="00155035"/>
    <w:rsid w:val="00155F68"/>
    <w:rsid w:val="0016330C"/>
    <w:rsid w:val="00184B03"/>
    <w:rsid w:val="00194E0B"/>
    <w:rsid w:val="00195B32"/>
    <w:rsid w:val="001B30D5"/>
    <w:rsid w:val="001C0FB0"/>
    <w:rsid w:val="001D344E"/>
    <w:rsid w:val="001D6F4F"/>
    <w:rsid w:val="001E179B"/>
    <w:rsid w:val="001E3AB3"/>
    <w:rsid w:val="001F7F1D"/>
    <w:rsid w:val="002279BE"/>
    <w:rsid w:val="00231D60"/>
    <w:rsid w:val="00234FE9"/>
    <w:rsid w:val="0024136B"/>
    <w:rsid w:val="00266096"/>
    <w:rsid w:val="00271741"/>
    <w:rsid w:val="00275EDC"/>
    <w:rsid w:val="00276D91"/>
    <w:rsid w:val="00296A1B"/>
    <w:rsid w:val="002C28FB"/>
    <w:rsid w:val="002C7DD2"/>
    <w:rsid w:val="002E2098"/>
    <w:rsid w:val="00302A53"/>
    <w:rsid w:val="00303713"/>
    <w:rsid w:val="00317FC3"/>
    <w:rsid w:val="0034438F"/>
    <w:rsid w:val="00350575"/>
    <w:rsid w:val="003544DF"/>
    <w:rsid w:val="00360366"/>
    <w:rsid w:val="00377ABE"/>
    <w:rsid w:val="00383AA3"/>
    <w:rsid w:val="0039051A"/>
    <w:rsid w:val="00397AEA"/>
    <w:rsid w:val="003B00AA"/>
    <w:rsid w:val="003C0D58"/>
    <w:rsid w:val="003C3A83"/>
    <w:rsid w:val="003D03AF"/>
    <w:rsid w:val="003D5944"/>
    <w:rsid w:val="003E0C01"/>
    <w:rsid w:val="003E4033"/>
    <w:rsid w:val="003E4AA9"/>
    <w:rsid w:val="003E72D1"/>
    <w:rsid w:val="003F7899"/>
    <w:rsid w:val="00403488"/>
    <w:rsid w:val="00423328"/>
    <w:rsid w:val="00430DBD"/>
    <w:rsid w:val="00436371"/>
    <w:rsid w:val="00440E66"/>
    <w:rsid w:val="004434D8"/>
    <w:rsid w:val="00443B69"/>
    <w:rsid w:val="00470042"/>
    <w:rsid w:val="00473088"/>
    <w:rsid w:val="00477942"/>
    <w:rsid w:val="00483121"/>
    <w:rsid w:val="00485BBE"/>
    <w:rsid w:val="00487296"/>
    <w:rsid w:val="004D1333"/>
    <w:rsid w:val="004D3F8A"/>
    <w:rsid w:val="004F6138"/>
    <w:rsid w:val="00514729"/>
    <w:rsid w:val="005156E2"/>
    <w:rsid w:val="005225DB"/>
    <w:rsid w:val="0052384C"/>
    <w:rsid w:val="0052544D"/>
    <w:rsid w:val="00532A6C"/>
    <w:rsid w:val="005347A4"/>
    <w:rsid w:val="00536933"/>
    <w:rsid w:val="005448FF"/>
    <w:rsid w:val="00572389"/>
    <w:rsid w:val="00591CA1"/>
    <w:rsid w:val="005A6F5F"/>
    <w:rsid w:val="005B09FC"/>
    <w:rsid w:val="005C3467"/>
    <w:rsid w:val="005D03F7"/>
    <w:rsid w:val="005E0D74"/>
    <w:rsid w:val="005E221C"/>
    <w:rsid w:val="005E5973"/>
    <w:rsid w:val="005F6986"/>
    <w:rsid w:val="00601D0F"/>
    <w:rsid w:val="00614E9A"/>
    <w:rsid w:val="00617C74"/>
    <w:rsid w:val="00627F4D"/>
    <w:rsid w:val="00631C35"/>
    <w:rsid w:val="00644E64"/>
    <w:rsid w:val="006538B1"/>
    <w:rsid w:val="00655B76"/>
    <w:rsid w:val="006578A2"/>
    <w:rsid w:val="0066296E"/>
    <w:rsid w:val="00667514"/>
    <w:rsid w:val="00670A99"/>
    <w:rsid w:val="0067304D"/>
    <w:rsid w:val="006A45AA"/>
    <w:rsid w:val="006A781C"/>
    <w:rsid w:val="006B7DBD"/>
    <w:rsid w:val="006C2FC8"/>
    <w:rsid w:val="006C6E97"/>
    <w:rsid w:val="006D46ED"/>
    <w:rsid w:val="006E209A"/>
    <w:rsid w:val="0070139E"/>
    <w:rsid w:val="007019D1"/>
    <w:rsid w:val="007031A9"/>
    <w:rsid w:val="007041B6"/>
    <w:rsid w:val="007153DC"/>
    <w:rsid w:val="00723CB5"/>
    <w:rsid w:val="00760B90"/>
    <w:rsid w:val="0076133B"/>
    <w:rsid w:val="00772EF8"/>
    <w:rsid w:val="007777C6"/>
    <w:rsid w:val="007A062D"/>
    <w:rsid w:val="007A3698"/>
    <w:rsid w:val="007B6D36"/>
    <w:rsid w:val="007D4C0F"/>
    <w:rsid w:val="007E48B8"/>
    <w:rsid w:val="007E78C3"/>
    <w:rsid w:val="007F1FEA"/>
    <w:rsid w:val="0080090B"/>
    <w:rsid w:val="00802605"/>
    <w:rsid w:val="0080619E"/>
    <w:rsid w:val="00810B75"/>
    <w:rsid w:val="00815ECA"/>
    <w:rsid w:val="0082025A"/>
    <w:rsid w:val="00826827"/>
    <w:rsid w:val="0084463C"/>
    <w:rsid w:val="008731F5"/>
    <w:rsid w:val="00873C7F"/>
    <w:rsid w:val="00891A48"/>
    <w:rsid w:val="008A4C6D"/>
    <w:rsid w:val="008B09BE"/>
    <w:rsid w:val="008B260B"/>
    <w:rsid w:val="008C17CF"/>
    <w:rsid w:val="008C282F"/>
    <w:rsid w:val="008D1128"/>
    <w:rsid w:val="008D2751"/>
    <w:rsid w:val="008D3583"/>
    <w:rsid w:val="008D63E0"/>
    <w:rsid w:val="008E33AD"/>
    <w:rsid w:val="008E595E"/>
    <w:rsid w:val="009048B9"/>
    <w:rsid w:val="0091386E"/>
    <w:rsid w:val="00916C3A"/>
    <w:rsid w:val="0092023D"/>
    <w:rsid w:val="00920FE9"/>
    <w:rsid w:val="00922D30"/>
    <w:rsid w:val="00922D6E"/>
    <w:rsid w:val="00932537"/>
    <w:rsid w:val="0093411E"/>
    <w:rsid w:val="00940EA2"/>
    <w:rsid w:val="00944C3B"/>
    <w:rsid w:val="00951C79"/>
    <w:rsid w:val="009522A6"/>
    <w:rsid w:val="00960557"/>
    <w:rsid w:val="00962879"/>
    <w:rsid w:val="00965D6E"/>
    <w:rsid w:val="009704C6"/>
    <w:rsid w:val="00973754"/>
    <w:rsid w:val="0097494A"/>
    <w:rsid w:val="009E20A4"/>
    <w:rsid w:val="009F0B2A"/>
    <w:rsid w:val="00A057F5"/>
    <w:rsid w:val="00A1531C"/>
    <w:rsid w:val="00A236AE"/>
    <w:rsid w:val="00A300AA"/>
    <w:rsid w:val="00A34A2F"/>
    <w:rsid w:val="00A36A7C"/>
    <w:rsid w:val="00A674C1"/>
    <w:rsid w:val="00A7305E"/>
    <w:rsid w:val="00A75014"/>
    <w:rsid w:val="00A75336"/>
    <w:rsid w:val="00A957A2"/>
    <w:rsid w:val="00AA5B20"/>
    <w:rsid w:val="00AC0439"/>
    <w:rsid w:val="00AD0B1D"/>
    <w:rsid w:val="00AD2A5F"/>
    <w:rsid w:val="00AE1F90"/>
    <w:rsid w:val="00AE4A7F"/>
    <w:rsid w:val="00AF210A"/>
    <w:rsid w:val="00AF2FA3"/>
    <w:rsid w:val="00AF2FAC"/>
    <w:rsid w:val="00B03EC6"/>
    <w:rsid w:val="00B17069"/>
    <w:rsid w:val="00B20856"/>
    <w:rsid w:val="00B2116B"/>
    <w:rsid w:val="00B36668"/>
    <w:rsid w:val="00B431BB"/>
    <w:rsid w:val="00B547D8"/>
    <w:rsid w:val="00B560BB"/>
    <w:rsid w:val="00B56403"/>
    <w:rsid w:val="00B63ACA"/>
    <w:rsid w:val="00B96A6E"/>
    <w:rsid w:val="00BA4377"/>
    <w:rsid w:val="00BC4E6F"/>
    <w:rsid w:val="00BE0552"/>
    <w:rsid w:val="00BE4D5E"/>
    <w:rsid w:val="00BF4F22"/>
    <w:rsid w:val="00C147EF"/>
    <w:rsid w:val="00C22559"/>
    <w:rsid w:val="00C32E2E"/>
    <w:rsid w:val="00C369FF"/>
    <w:rsid w:val="00C47934"/>
    <w:rsid w:val="00C5315E"/>
    <w:rsid w:val="00C536BC"/>
    <w:rsid w:val="00C53B44"/>
    <w:rsid w:val="00C53BA9"/>
    <w:rsid w:val="00C72C01"/>
    <w:rsid w:val="00C75B20"/>
    <w:rsid w:val="00C84D7D"/>
    <w:rsid w:val="00C874CB"/>
    <w:rsid w:val="00CC04BB"/>
    <w:rsid w:val="00CC3044"/>
    <w:rsid w:val="00CD3F07"/>
    <w:rsid w:val="00CD7254"/>
    <w:rsid w:val="00CE64A6"/>
    <w:rsid w:val="00CE72A4"/>
    <w:rsid w:val="00CF20FC"/>
    <w:rsid w:val="00D3621F"/>
    <w:rsid w:val="00D378E2"/>
    <w:rsid w:val="00D40BC3"/>
    <w:rsid w:val="00D45C2C"/>
    <w:rsid w:val="00D47038"/>
    <w:rsid w:val="00D4739D"/>
    <w:rsid w:val="00D7642B"/>
    <w:rsid w:val="00D847BE"/>
    <w:rsid w:val="00DA3A92"/>
    <w:rsid w:val="00DB44F9"/>
    <w:rsid w:val="00DB6F4A"/>
    <w:rsid w:val="00DC03D6"/>
    <w:rsid w:val="00DD178B"/>
    <w:rsid w:val="00DD2E23"/>
    <w:rsid w:val="00DD4F04"/>
    <w:rsid w:val="00DD7E70"/>
    <w:rsid w:val="00DE536A"/>
    <w:rsid w:val="00DF674B"/>
    <w:rsid w:val="00E00BC4"/>
    <w:rsid w:val="00E424B9"/>
    <w:rsid w:val="00E50A43"/>
    <w:rsid w:val="00E650C9"/>
    <w:rsid w:val="00E70F60"/>
    <w:rsid w:val="00E71F3E"/>
    <w:rsid w:val="00E724FB"/>
    <w:rsid w:val="00E75455"/>
    <w:rsid w:val="00E90A52"/>
    <w:rsid w:val="00EB78FB"/>
    <w:rsid w:val="00EC2D5B"/>
    <w:rsid w:val="00ED3C71"/>
    <w:rsid w:val="00ED5A02"/>
    <w:rsid w:val="00EF28D2"/>
    <w:rsid w:val="00EF3290"/>
    <w:rsid w:val="00F06F94"/>
    <w:rsid w:val="00F21B36"/>
    <w:rsid w:val="00F4262A"/>
    <w:rsid w:val="00F52314"/>
    <w:rsid w:val="00F81DD4"/>
    <w:rsid w:val="00FA5ECE"/>
    <w:rsid w:val="00FA6231"/>
    <w:rsid w:val="00FA7413"/>
    <w:rsid w:val="00FB0E5A"/>
    <w:rsid w:val="00FC4221"/>
    <w:rsid w:val="00FD17F1"/>
    <w:rsid w:val="00FD60DB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99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4A1A-01E2-498C-9E6F-09F22089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4400</Words>
  <Characters>2509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User</cp:lastModifiedBy>
  <cp:revision>12</cp:revision>
  <cp:lastPrinted>2018-09-25T06:24:00Z</cp:lastPrinted>
  <dcterms:created xsi:type="dcterms:W3CDTF">2019-05-20T11:22:00Z</dcterms:created>
  <dcterms:modified xsi:type="dcterms:W3CDTF">2019-05-24T06:16:00Z</dcterms:modified>
</cp:coreProperties>
</file>