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9B" w:rsidRPr="00637B50" w:rsidRDefault="00440E66" w:rsidP="001E179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1E179B" w:rsidRPr="00637B50" w:rsidRDefault="00440E66" w:rsidP="00B96A6E">
      <w:pPr>
        <w:ind w:left="9912" w:firstLine="3"/>
        <w:rPr>
          <w:sz w:val="26"/>
          <w:szCs w:val="26"/>
        </w:rPr>
      </w:pPr>
      <w:r>
        <w:rPr>
          <w:sz w:val="26"/>
          <w:szCs w:val="26"/>
        </w:rPr>
        <w:t>Н</w:t>
      </w:r>
      <w:r w:rsidR="001E179B" w:rsidRPr="00637B50">
        <w:rPr>
          <w:sz w:val="26"/>
          <w:szCs w:val="26"/>
        </w:rPr>
        <w:t>ак</w:t>
      </w:r>
      <w:r>
        <w:rPr>
          <w:sz w:val="26"/>
          <w:szCs w:val="26"/>
        </w:rPr>
        <w:t>аз</w:t>
      </w:r>
      <w:r w:rsidR="00B96A6E">
        <w:rPr>
          <w:sz w:val="26"/>
          <w:szCs w:val="26"/>
        </w:rPr>
        <w:t xml:space="preserve"> </w:t>
      </w:r>
      <w:r w:rsidR="0011264E">
        <w:rPr>
          <w:sz w:val="26"/>
          <w:szCs w:val="26"/>
        </w:rPr>
        <w:t>Г</w:t>
      </w:r>
      <w:r w:rsidR="000F2F2E">
        <w:rPr>
          <w:sz w:val="26"/>
          <w:szCs w:val="26"/>
        </w:rPr>
        <w:t xml:space="preserve">олови </w:t>
      </w:r>
      <w:r w:rsidR="00B96A6E">
        <w:rPr>
          <w:sz w:val="26"/>
          <w:szCs w:val="26"/>
        </w:rPr>
        <w:t xml:space="preserve">Національного агентства з питань запобігання корупції </w:t>
      </w:r>
    </w:p>
    <w:p w:rsidR="003C311D" w:rsidRDefault="001E179B" w:rsidP="008A08E6">
      <w:pPr>
        <w:rPr>
          <w:sz w:val="26"/>
          <w:szCs w:val="26"/>
        </w:rPr>
      </w:pP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="00E75455">
        <w:rPr>
          <w:sz w:val="26"/>
          <w:szCs w:val="26"/>
        </w:rPr>
        <w:t xml:space="preserve">           </w:t>
      </w:r>
      <w:r w:rsidR="008A08E6">
        <w:rPr>
          <w:sz w:val="26"/>
          <w:szCs w:val="26"/>
        </w:rPr>
        <w:t>24.05.2019 № 72/19</w:t>
      </w:r>
    </w:p>
    <w:p w:rsidR="008A08E6" w:rsidRDefault="008A08E6" w:rsidP="008A08E6">
      <w:pPr>
        <w:rPr>
          <w:rStyle w:val="rvts15"/>
          <w:b/>
          <w:sz w:val="26"/>
          <w:szCs w:val="26"/>
        </w:rPr>
      </w:pPr>
    </w:p>
    <w:p w:rsidR="00C3299F" w:rsidRDefault="001E179B" w:rsidP="006B0E16">
      <w:pPr>
        <w:tabs>
          <w:tab w:val="left" w:pos="1342"/>
        </w:tabs>
        <w:jc w:val="center"/>
        <w:rPr>
          <w:b/>
          <w:szCs w:val="28"/>
        </w:rPr>
      </w:pPr>
      <w:r w:rsidRPr="001E179B">
        <w:rPr>
          <w:rStyle w:val="rvts15"/>
          <w:b/>
          <w:sz w:val="26"/>
          <w:szCs w:val="26"/>
        </w:rPr>
        <w:t xml:space="preserve">УМОВИ </w:t>
      </w:r>
      <w:r w:rsidRPr="001E179B">
        <w:rPr>
          <w:b/>
          <w:sz w:val="26"/>
          <w:szCs w:val="26"/>
        </w:rPr>
        <w:br/>
      </w:r>
      <w:r w:rsidRPr="008F0F98">
        <w:rPr>
          <w:rStyle w:val="rvts15"/>
          <w:b/>
          <w:szCs w:val="28"/>
        </w:rPr>
        <w:t xml:space="preserve">проведення конкурсу на </w:t>
      </w:r>
      <w:r w:rsidR="00644E64" w:rsidRPr="008F0F98">
        <w:rPr>
          <w:b/>
          <w:szCs w:val="28"/>
        </w:rPr>
        <w:t>зайняття вакантної поса</w:t>
      </w:r>
      <w:r w:rsidR="003B00AA" w:rsidRPr="008F0F98">
        <w:rPr>
          <w:b/>
          <w:szCs w:val="28"/>
        </w:rPr>
        <w:t>ди державної служби</w:t>
      </w:r>
      <w:r w:rsidR="003B00AA" w:rsidRPr="008F0F98">
        <w:rPr>
          <w:b/>
          <w:szCs w:val="28"/>
        </w:rPr>
        <w:br/>
        <w:t>категорії «Б</w:t>
      </w:r>
      <w:r w:rsidR="00644E64" w:rsidRPr="008F0F98">
        <w:rPr>
          <w:b/>
          <w:szCs w:val="28"/>
        </w:rPr>
        <w:t>» -</w:t>
      </w:r>
      <w:r w:rsidR="00C3299F">
        <w:rPr>
          <w:b/>
          <w:szCs w:val="28"/>
        </w:rPr>
        <w:t xml:space="preserve"> </w:t>
      </w:r>
      <w:r w:rsidR="00C3299F" w:rsidRPr="00C3299F">
        <w:rPr>
          <w:b/>
          <w:szCs w:val="28"/>
        </w:rPr>
        <w:t>керівник</w:t>
      </w:r>
      <w:r w:rsidR="005F3781">
        <w:rPr>
          <w:b/>
          <w:szCs w:val="28"/>
        </w:rPr>
        <w:t>а</w:t>
      </w:r>
      <w:r w:rsidR="00C3299F" w:rsidRPr="00C3299F">
        <w:rPr>
          <w:b/>
          <w:szCs w:val="28"/>
        </w:rPr>
        <w:t xml:space="preserve"> відділу організації антикорупційного навчання</w:t>
      </w:r>
    </w:p>
    <w:p w:rsidR="001E179B" w:rsidRPr="008F0F98" w:rsidRDefault="00C3299F" w:rsidP="006B0E16">
      <w:pPr>
        <w:tabs>
          <w:tab w:val="left" w:pos="1342"/>
        </w:tabs>
        <w:jc w:val="center"/>
        <w:rPr>
          <w:b/>
          <w:szCs w:val="28"/>
        </w:rPr>
      </w:pPr>
      <w:r w:rsidRPr="00C3299F">
        <w:rPr>
          <w:b/>
          <w:szCs w:val="28"/>
        </w:rPr>
        <w:t>Департаменту координації антикорупційної політики</w:t>
      </w:r>
      <w:r>
        <w:rPr>
          <w:szCs w:val="28"/>
        </w:rPr>
        <w:t xml:space="preserve"> </w:t>
      </w:r>
      <w:r w:rsidR="00ED5A02" w:rsidRPr="008F0F98">
        <w:rPr>
          <w:b/>
          <w:szCs w:val="28"/>
        </w:rPr>
        <w:t xml:space="preserve">– 1 </w:t>
      </w:r>
      <w:r w:rsidR="00E724FB" w:rsidRPr="008F0F98">
        <w:rPr>
          <w:b/>
          <w:szCs w:val="28"/>
        </w:rPr>
        <w:t>штатна по</w:t>
      </w:r>
      <w:r w:rsidR="00ED5A02" w:rsidRPr="008F0F98">
        <w:rPr>
          <w:b/>
          <w:szCs w:val="28"/>
        </w:rPr>
        <w:t>сада</w:t>
      </w:r>
    </w:p>
    <w:p w:rsidR="003B00AA" w:rsidRPr="008F0F98" w:rsidRDefault="003B00AA" w:rsidP="006B0E16">
      <w:pPr>
        <w:tabs>
          <w:tab w:val="left" w:pos="1342"/>
        </w:tabs>
        <w:jc w:val="center"/>
        <w:rPr>
          <w:rStyle w:val="rvts15"/>
          <w:b/>
          <w:szCs w:val="28"/>
        </w:rPr>
      </w:pPr>
    </w:p>
    <w:tbl>
      <w:tblPr>
        <w:tblW w:w="491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4017"/>
        <w:gridCol w:w="10299"/>
      </w:tblGrid>
      <w:tr w:rsidR="001E179B" w:rsidTr="00234FE9">
        <w:tc>
          <w:tcPr>
            <w:tcW w:w="147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79B" w:rsidRPr="00EF28D2" w:rsidRDefault="001E179B" w:rsidP="00C53B4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C3299F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C3299F" w:rsidRDefault="00C3299F" w:rsidP="00C3299F">
            <w:pPr>
              <w:pStyle w:val="rvps14"/>
            </w:pPr>
            <w:r>
              <w:t>Посадові обов’язки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3299F" w:rsidRPr="00383C44" w:rsidRDefault="00C3299F" w:rsidP="00C3299F">
            <w:pPr>
              <w:widowControl w:val="0"/>
              <w:tabs>
                <w:tab w:val="left" w:pos="1134"/>
              </w:tabs>
              <w:suppressAutoHyphens/>
              <w:spacing w:after="120"/>
              <w:ind w:firstLine="567"/>
              <w:rPr>
                <w:sz w:val="24"/>
                <w:lang w:eastAsia="uk-UA"/>
              </w:rPr>
            </w:pPr>
            <w:bookmarkStart w:id="0" w:name="n130"/>
            <w:bookmarkStart w:id="1" w:name="n131"/>
            <w:bookmarkEnd w:id="0"/>
            <w:bookmarkEnd w:id="1"/>
            <w:r w:rsidRPr="00383C44">
              <w:rPr>
                <w:sz w:val="24"/>
                <w:lang w:eastAsia="uk-UA"/>
              </w:rPr>
              <w:t>1) здійснює керівництво діяльністю відділу;</w:t>
            </w:r>
          </w:p>
          <w:p w:rsidR="00C3299F" w:rsidRPr="00383C44" w:rsidRDefault="00C3299F" w:rsidP="00C3299F">
            <w:pPr>
              <w:widowControl w:val="0"/>
              <w:tabs>
                <w:tab w:val="left" w:pos="1134"/>
              </w:tabs>
              <w:suppressAutoHyphens/>
              <w:spacing w:after="120"/>
              <w:ind w:firstLine="567"/>
              <w:rPr>
                <w:sz w:val="24"/>
                <w:lang w:eastAsia="uk-UA"/>
              </w:rPr>
            </w:pPr>
            <w:r w:rsidRPr="00383C44">
              <w:rPr>
                <w:sz w:val="24"/>
                <w:lang w:eastAsia="uk-UA"/>
              </w:rPr>
              <w:t>2) здійснює розробку програм навчальних та тренінгових занять з питань, пов’язаних із запобіганням корупції, для працівників державних органів, органів влади Автономної Республіки Крим, посадових осіб місцевого самоврядування (крім підвищення кваліфікації державних службовців і посадових осіб місцевого самоврядування) та забезпечує підготовку відповідних навчальних матеріалів;</w:t>
            </w:r>
          </w:p>
          <w:p w:rsidR="00C3299F" w:rsidRPr="00383C44" w:rsidRDefault="00C3299F" w:rsidP="00C3299F">
            <w:pPr>
              <w:widowControl w:val="0"/>
              <w:tabs>
                <w:tab w:val="left" w:pos="851"/>
                <w:tab w:val="left" w:pos="1134"/>
              </w:tabs>
              <w:suppressAutoHyphens/>
              <w:spacing w:after="120"/>
              <w:ind w:firstLine="567"/>
              <w:rPr>
                <w:sz w:val="24"/>
                <w:lang w:eastAsia="uk-UA"/>
              </w:rPr>
            </w:pPr>
            <w:r w:rsidRPr="00383C44">
              <w:rPr>
                <w:sz w:val="24"/>
                <w:lang w:eastAsia="uk-UA"/>
              </w:rPr>
              <w:t>3) забезпечує організацію проведення працівниками Національного агентства навчань з питань, пов’язаних із запобіганням корупції, для працівників державних органів, органів влади Автономної Республіки Крим, посадових осіб місцевого самоврядування та представників політичних партій (крім підвищення кваліфікації державних службовців і посадових осіб місцевого самоврядування);</w:t>
            </w:r>
          </w:p>
          <w:p w:rsidR="00C3299F" w:rsidRPr="00383C44" w:rsidRDefault="00C3299F" w:rsidP="00C3299F">
            <w:pPr>
              <w:widowControl w:val="0"/>
              <w:tabs>
                <w:tab w:val="left" w:pos="1134"/>
              </w:tabs>
              <w:suppressAutoHyphens/>
              <w:spacing w:after="120"/>
              <w:ind w:firstLine="567"/>
              <w:rPr>
                <w:sz w:val="24"/>
                <w:lang w:eastAsia="zh-CN"/>
              </w:rPr>
            </w:pPr>
            <w:r w:rsidRPr="00383C44">
              <w:rPr>
                <w:sz w:val="24"/>
                <w:lang w:eastAsia="uk-UA"/>
              </w:rPr>
              <w:t>4)  вивчає та узагальнює пропозиції щодо потреб у підготовці, перепідготовці і підвищенні кваліфікації працівників державних органів, органів влади Автономної Республіки Крим, посадових осіб місцевого самоврядування з питань, пов’язаних із запобіганням корупції (крім підвищення кваліфікації державних службовців і посадових осіб місцевого самоврядування);</w:t>
            </w:r>
          </w:p>
          <w:p w:rsidR="00C3299F" w:rsidRPr="00383C44" w:rsidRDefault="006B0E16" w:rsidP="00C3299F">
            <w:pPr>
              <w:widowControl w:val="0"/>
              <w:tabs>
                <w:tab w:val="left" w:pos="1134"/>
              </w:tabs>
              <w:suppressAutoHyphens/>
              <w:spacing w:after="120"/>
              <w:ind w:firstLine="567"/>
              <w:rPr>
                <w:sz w:val="24"/>
                <w:lang w:eastAsia="zh-CN"/>
              </w:rPr>
            </w:pPr>
            <w:r>
              <w:rPr>
                <w:sz w:val="24"/>
                <w:lang w:eastAsia="uk-UA"/>
              </w:rPr>
              <w:t>5</w:t>
            </w:r>
            <w:r w:rsidR="00C3299F" w:rsidRPr="00383C44">
              <w:rPr>
                <w:sz w:val="24"/>
                <w:lang w:eastAsia="uk-UA"/>
              </w:rPr>
              <w:t>) бере участь у формуванні державного замовлення на підвищення кваліфікації працівників державних органів, органів влади Автономної Республіки Крим, посадових осіб місцевого самоврядування з питань, пов’язаних із запобіганням корупції (крім підвищення кваліфікації державних службовців і посадових осіб місцевого самоврядування);</w:t>
            </w:r>
          </w:p>
          <w:p w:rsidR="00C3299F" w:rsidRPr="00383C44" w:rsidRDefault="006B0E16" w:rsidP="00C3299F">
            <w:pPr>
              <w:widowControl w:val="0"/>
              <w:suppressAutoHyphens/>
              <w:spacing w:after="120"/>
              <w:ind w:firstLine="567"/>
              <w:rPr>
                <w:sz w:val="24"/>
                <w:lang w:eastAsia="zh-CN"/>
              </w:rPr>
            </w:pPr>
            <w:r>
              <w:rPr>
                <w:sz w:val="24"/>
                <w:lang w:eastAsia="uk-UA"/>
              </w:rPr>
              <w:t>6</w:t>
            </w:r>
            <w:r w:rsidR="00C3299F" w:rsidRPr="00383C44">
              <w:rPr>
                <w:sz w:val="24"/>
                <w:lang w:eastAsia="uk-UA"/>
              </w:rPr>
              <w:t xml:space="preserve">) забезпечує організацію та координацію підвищення кваліфікації працівників державних органів, органів влади Автономної Республіки Крим, посадових осіб місцевого самоврядування з питань, пов’язаних із запобіганням корупції (крім підвищення кваліфікації державних службовців і </w:t>
            </w:r>
            <w:r w:rsidR="00C3299F" w:rsidRPr="00383C44">
              <w:rPr>
                <w:sz w:val="24"/>
                <w:lang w:eastAsia="uk-UA"/>
              </w:rPr>
              <w:lastRenderedPageBreak/>
              <w:t>посадових осіб місцевого самоврядування), бере участь у межах компетенції у здійсненні контролю за якістю навчання;</w:t>
            </w:r>
          </w:p>
          <w:p w:rsidR="00C3299F" w:rsidRDefault="006B0E16" w:rsidP="00C3299F">
            <w:pPr>
              <w:widowControl w:val="0"/>
              <w:tabs>
                <w:tab w:val="left" w:pos="1134"/>
              </w:tabs>
              <w:suppressAutoHyphens/>
              <w:spacing w:after="120"/>
              <w:ind w:firstLine="567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7</w:t>
            </w:r>
            <w:r w:rsidR="00C3299F" w:rsidRPr="00383C44">
              <w:rPr>
                <w:sz w:val="24"/>
                <w:lang w:eastAsia="uk-UA"/>
              </w:rPr>
              <w:t>) здійснює координацію розробки навчально-методичного забезпечення для підвищення кваліфікації працівників державних органів, органів влади Автономної Республіки Крим, посадових осіб місцевого самоврядування з питань, пов’язаних із запобіганням корупції (крім підвищення кваліфікації державних службовців і посадових осіб місцевого самоврядування);</w:t>
            </w:r>
          </w:p>
          <w:p w:rsidR="006B0E16" w:rsidRDefault="006B0E16" w:rsidP="006B0E16">
            <w:pPr>
              <w:ind w:firstLine="0"/>
              <w:rPr>
                <w:sz w:val="24"/>
              </w:rPr>
            </w:pPr>
            <w:r>
              <w:rPr>
                <w:sz w:val="24"/>
                <w:lang w:eastAsia="uk-UA"/>
              </w:rPr>
              <w:t xml:space="preserve">         </w:t>
            </w:r>
            <w:r w:rsidRPr="006B0E16">
              <w:rPr>
                <w:sz w:val="24"/>
                <w:lang w:eastAsia="uk-UA"/>
              </w:rPr>
              <w:t xml:space="preserve">8) </w:t>
            </w:r>
            <w:r w:rsidRPr="006B0E16">
              <w:rPr>
                <w:sz w:val="24"/>
              </w:rPr>
              <w:t>забезпечувати в межах компетенції організацію роботи Відділу з питань збереження інформації, що становить державну таємницю під час здійснення міжнародної співпраці та обміну інформацією з компетентними органами іноземних держав;</w:t>
            </w:r>
          </w:p>
          <w:p w:rsidR="006B0E16" w:rsidRPr="006B0E16" w:rsidRDefault="006B0E16" w:rsidP="006B0E16">
            <w:pPr>
              <w:ind w:firstLine="0"/>
              <w:rPr>
                <w:sz w:val="24"/>
              </w:rPr>
            </w:pPr>
          </w:p>
          <w:p w:rsidR="00C3299F" w:rsidRPr="00383C44" w:rsidRDefault="00C3299F" w:rsidP="00C3299F">
            <w:pPr>
              <w:widowControl w:val="0"/>
              <w:tabs>
                <w:tab w:val="left" w:pos="1134"/>
              </w:tabs>
              <w:suppressAutoHyphens/>
              <w:spacing w:after="120"/>
              <w:ind w:firstLine="567"/>
              <w:rPr>
                <w:sz w:val="24"/>
                <w:lang w:eastAsia="zh-CN"/>
              </w:rPr>
            </w:pPr>
            <w:r w:rsidRPr="00383C44">
              <w:rPr>
                <w:sz w:val="24"/>
                <w:lang w:eastAsia="uk-UA"/>
              </w:rPr>
              <w:t>9) </w:t>
            </w:r>
            <w:r w:rsidRPr="00383C44">
              <w:rPr>
                <w:spacing w:val="-4"/>
                <w:sz w:val="24"/>
                <w:lang w:eastAsia="uk-UA"/>
              </w:rPr>
              <w:t xml:space="preserve">забезпечує в межах компетенції взаємодію з інститутами громадянського суспільства щодо організації підготовки, перепідготовки та підвищення кваліфікації працівників державних органів, органів влади Автономної Республіки Крим, посадових осіб місцевого самоврядування з питань, пов’язаних із запобіганням корупції </w:t>
            </w:r>
            <w:r w:rsidRPr="00383C44">
              <w:rPr>
                <w:sz w:val="24"/>
                <w:lang w:eastAsia="uk-UA"/>
              </w:rPr>
              <w:t>(крім підвищення кваліфікації державних службовців і посадових осіб місцевого самоврядування)</w:t>
            </w:r>
            <w:r w:rsidRPr="00383C44">
              <w:rPr>
                <w:spacing w:val="-4"/>
                <w:sz w:val="24"/>
                <w:lang w:eastAsia="uk-UA"/>
              </w:rPr>
              <w:t>;</w:t>
            </w:r>
          </w:p>
          <w:p w:rsidR="00C3299F" w:rsidRPr="00383C44" w:rsidRDefault="00C3299F" w:rsidP="00C3299F">
            <w:pPr>
              <w:widowControl w:val="0"/>
              <w:tabs>
                <w:tab w:val="left" w:pos="1134"/>
              </w:tabs>
              <w:suppressAutoHyphens/>
              <w:spacing w:after="120"/>
              <w:ind w:firstLine="567"/>
              <w:rPr>
                <w:sz w:val="24"/>
                <w:lang w:eastAsia="uk-UA"/>
              </w:rPr>
            </w:pPr>
            <w:r w:rsidRPr="00383C44">
              <w:rPr>
                <w:sz w:val="24"/>
                <w:lang w:eastAsia="uk-UA"/>
              </w:rPr>
              <w:t>10) здійснює розробку проектів нормативно-правових актів та бере участь в опрацюванні проектів нормативно-правових актів з питань, що належать до компетенції Відділу;</w:t>
            </w:r>
          </w:p>
          <w:p w:rsidR="00C3299F" w:rsidRPr="00383C44" w:rsidRDefault="00C3299F" w:rsidP="00C3299F">
            <w:pPr>
              <w:widowControl w:val="0"/>
              <w:suppressAutoHyphens/>
              <w:spacing w:after="120"/>
              <w:ind w:firstLine="567"/>
              <w:rPr>
                <w:sz w:val="24"/>
                <w:lang w:eastAsia="uk-UA"/>
              </w:rPr>
            </w:pPr>
            <w:r w:rsidRPr="00383C44">
              <w:rPr>
                <w:sz w:val="24"/>
                <w:lang w:eastAsia="uk-UA"/>
              </w:rPr>
              <w:t>11) здійснює розгляд звернень громадян, підприємств, установ та організацій з питань що належать до компетенції Відділу;</w:t>
            </w:r>
          </w:p>
          <w:p w:rsidR="00C3299F" w:rsidRPr="00383C44" w:rsidRDefault="00C3299F" w:rsidP="00C3299F">
            <w:pPr>
              <w:widowControl w:val="0"/>
              <w:tabs>
                <w:tab w:val="left" w:pos="1134"/>
              </w:tabs>
              <w:suppressAutoHyphens/>
              <w:spacing w:after="120"/>
              <w:ind w:firstLine="567"/>
              <w:rPr>
                <w:sz w:val="24"/>
                <w:lang w:eastAsia="uk-UA"/>
              </w:rPr>
            </w:pPr>
            <w:r w:rsidRPr="00383C44">
              <w:rPr>
                <w:sz w:val="24"/>
                <w:lang w:eastAsia="uk-UA"/>
              </w:rPr>
              <w:t xml:space="preserve">12) веде облік організованих та проведених працівниками Національного агентства навчань з питань, пов’язаних із запобіганням корупції, для працівників державних органів, органів влади Автономної Республіки Крим, посадових осіб місцевого самоврядування (крім підвищення кваліфікації державних службовців і посадових осіб місцевого самоврядування) та представників політичних партій, а також забезпечує підготовку відповідних аналітичних матеріалів; </w:t>
            </w:r>
          </w:p>
          <w:p w:rsidR="00C3299F" w:rsidRPr="00383C44" w:rsidRDefault="00C3299F" w:rsidP="00C3299F">
            <w:pPr>
              <w:widowControl w:val="0"/>
              <w:tabs>
                <w:tab w:val="left" w:pos="1134"/>
              </w:tabs>
              <w:suppressAutoHyphens/>
              <w:spacing w:after="200"/>
              <w:ind w:firstLine="567"/>
              <w:rPr>
                <w:sz w:val="24"/>
                <w:lang w:eastAsia="zh-CN"/>
              </w:rPr>
            </w:pPr>
            <w:r w:rsidRPr="00383C44">
              <w:rPr>
                <w:sz w:val="24"/>
                <w:lang w:eastAsia="uk-UA"/>
              </w:rPr>
              <w:t>13) забезпечує відповідно до Конституції, законів України, актів Президента України, актів Кабінету Міністрів України, Положення про апарат Національного агентства, Положення про Департамент виконання інших завдань, покладених на Національне агентство та Департамент у сфері підготовки, перепідготовки і підвищення кваліфікації з питань, пов’язаних із запобіганням корупції.</w:t>
            </w:r>
          </w:p>
        </w:tc>
      </w:tr>
      <w:tr w:rsidR="00C3299F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C3299F" w:rsidRDefault="00C3299F" w:rsidP="00C3299F">
            <w:pPr>
              <w:pStyle w:val="rvps14"/>
            </w:pPr>
            <w:r>
              <w:lastRenderedPageBreak/>
              <w:t>Умови оплати праці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3299F" w:rsidRDefault="00E429D6" w:rsidP="00C3299F">
            <w:pPr>
              <w:pStyle w:val="rvps1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посадовий оклад – 12</w:t>
            </w:r>
            <w:r w:rsidR="00C3299F">
              <w:rPr>
                <w:b/>
              </w:rPr>
              <w:t xml:space="preserve"> </w:t>
            </w:r>
            <w:r>
              <w:rPr>
                <w:b/>
              </w:rPr>
              <w:t>512</w:t>
            </w:r>
            <w:r w:rsidR="00C3299F" w:rsidRPr="00C147EF">
              <w:rPr>
                <w:b/>
              </w:rPr>
              <w:t>,</w:t>
            </w:r>
            <w:r w:rsidR="00C3299F">
              <w:rPr>
                <w:b/>
              </w:rPr>
              <w:t>5</w:t>
            </w:r>
            <w:r w:rsidR="00C3299F" w:rsidRPr="00C147EF">
              <w:rPr>
                <w:b/>
              </w:rPr>
              <w:t>0 грн;</w:t>
            </w:r>
          </w:p>
          <w:p w:rsidR="00C3299F" w:rsidRPr="003D5944" w:rsidRDefault="00C3299F" w:rsidP="00C3299F">
            <w:pPr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124A1"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4"/>
              </w:rPr>
              <w:t xml:space="preserve"> зі змінами</w:t>
            </w:r>
            <w:r w:rsidRPr="003124A1">
              <w:rPr>
                <w:sz w:val="24"/>
              </w:rPr>
              <w:t>;</w:t>
            </w:r>
          </w:p>
          <w:p w:rsidR="00C3299F" w:rsidRDefault="00C3299F" w:rsidP="00C3299F">
            <w:pPr>
              <w:pStyle w:val="rvps14"/>
              <w:spacing w:before="0" w:beforeAutospacing="0" w:after="0" w:afterAutospacing="0"/>
            </w:pPr>
            <w:r w:rsidRPr="00C34971">
              <w:t xml:space="preserve">- надбавки </w:t>
            </w:r>
            <w:r>
              <w:t>та доплати (відповідно до статей 50,</w:t>
            </w:r>
            <w:r w:rsidRPr="00C34971">
              <w:t xml:space="preserve"> 52 Закону України </w:t>
            </w:r>
            <w:r>
              <w:t>«</w:t>
            </w:r>
            <w:r w:rsidRPr="00C34971">
              <w:t>Про державну службу</w:t>
            </w:r>
            <w:r>
              <w:t>»</w:t>
            </w:r>
            <w:r w:rsidRPr="00C34971">
              <w:t>)</w:t>
            </w:r>
          </w:p>
        </w:tc>
      </w:tr>
      <w:tr w:rsidR="00C3299F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C3299F" w:rsidRDefault="00C3299F" w:rsidP="00C3299F">
            <w:pPr>
              <w:pStyle w:val="rvps14"/>
            </w:pPr>
            <w:r>
              <w:lastRenderedPageBreak/>
              <w:t>Інформація про строковість</w:t>
            </w:r>
            <w:r>
              <w:br/>
              <w:t xml:space="preserve"> чи безстроковість призначення на посаду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3299F" w:rsidRPr="00E979A3" w:rsidRDefault="00C3299F" w:rsidP="00C329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C3299F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C3299F" w:rsidRPr="00503299" w:rsidRDefault="00C3299F" w:rsidP="00C3299F">
            <w:pPr>
              <w:pStyle w:val="rvps14"/>
            </w:pPr>
            <w:r w:rsidRPr="00503299">
              <w:t>Перелік документів, необхідних для участі в конкурсі, та строк їх подання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3299F" w:rsidRPr="0092023D" w:rsidRDefault="00C3299F" w:rsidP="00C3299F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1. Копія паспорта громадянина України.</w:t>
            </w:r>
          </w:p>
          <w:p w:rsidR="00C3299F" w:rsidRPr="0092023D" w:rsidRDefault="00C3299F" w:rsidP="00C3299F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3299F" w:rsidRDefault="00C3299F" w:rsidP="00C3299F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F6986">
                <w:t>частиною третьою</w:t>
              </w:r>
            </w:hyperlink>
            <w:r w:rsidRPr="0092023D">
              <w:rPr>
                <w:spacing w:val="-6"/>
                <w:lang w:val="uk-UA"/>
              </w:rPr>
              <w:t xml:space="preserve"> або </w:t>
            </w:r>
            <w:hyperlink r:id="rId7" w:anchor="n14" w:tgtFrame="_blank" w:history="1">
              <w:r w:rsidRPr="005F6986">
                <w:t>четвертою</w:t>
              </w:r>
            </w:hyperlink>
            <w:r w:rsidRPr="0092023D">
              <w:rPr>
                <w:spacing w:val="-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3299F" w:rsidRDefault="00C3299F" w:rsidP="00C3299F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4. </w:t>
            </w:r>
            <w:r w:rsidRPr="005F6986">
              <w:rPr>
                <w:spacing w:val="-6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spacing w:val="-6"/>
                <w:lang w:val="uk-UA"/>
              </w:rPr>
              <w:t>.</w:t>
            </w:r>
            <w:r w:rsidRPr="005F6986">
              <w:rPr>
                <w:spacing w:val="-6"/>
                <w:lang w:val="uk-UA"/>
              </w:rPr>
              <w:t xml:space="preserve"> </w:t>
            </w:r>
          </w:p>
          <w:p w:rsidR="00C3299F" w:rsidRPr="0092023D" w:rsidRDefault="00C3299F" w:rsidP="00C3299F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5</w:t>
            </w:r>
            <w:r w:rsidRPr="0092023D">
              <w:rPr>
                <w:spacing w:val="-6"/>
                <w:lang w:val="uk-UA"/>
              </w:rPr>
              <w:t>. Копія (копії) документа (документів) про освіту.</w:t>
            </w:r>
          </w:p>
          <w:p w:rsidR="00C3299F" w:rsidRPr="0092023D" w:rsidRDefault="00C3299F" w:rsidP="00C3299F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  <w:r w:rsidRPr="0092023D">
              <w:rPr>
                <w:spacing w:val="-6"/>
                <w:lang w:val="uk-UA"/>
              </w:rPr>
              <w:t>. Заповнена особова картка встановленого зразка.</w:t>
            </w:r>
          </w:p>
          <w:p w:rsidR="00C3299F" w:rsidRPr="0092023D" w:rsidRDefault="00C3299F" w:rsidP="00C3299F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7</w:t>
            </w:r>
            <w:r w:rsidRPr="0092023D">
              <w:rPr>
                <w:spacing w:val="-6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C3299F" w:rsidRPr="0092023D" w:rsidRDefault="00C3299F" w:rsidP="00C3299F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8</w:t>
            </w:r>
            <w:r w:rsidRPr="0092023D">
              <w:rPr>
                <w:spacing w:val="-6"/>
                <w:lang w:val="uk-UA"/>
              </w:rPr>
              <w:t>. Декларація особи, уповноваженої на виконання функцій держави або місцевого самоврядування,  за 201</w:t>
            </w:r>
            <w:r>
              <w:rPr>
                <w:spacing w:val="-6"/>
                <w:lang w:val="uk-UA"/>
              </w:rPr>
              <w:t>8</w:t>
            </w:r>
            <w:r w:rsidRPr="0092023D">
              <w:rPr>
                <w:spacing w:val="-6"/>
                <w:lang w:val="uk-UA"/>
              </w:rPr>
              <w:t xml:space="preserve"> рік (надається у вигляді роздрукованого примірника заповненої декларації на офіційному веб-сайті НАЗК).</w:t>
            </w:r>
          </w:p>
          <w:p w:rsidR="00C3299F" w:rsidRPr="00AF2FAC" w:rsidRDefault="00C3299F" w:rsidP="00C3299F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Документи приймаються до </w:t>
            </w:r>
            <w:r w:rsidRPr="006C6C8E">
              <w:rPr>
                <w:b/>
                <w:spacing w:val="-6"/>
                <w:lang w:val="uk-UA"/>
              </w:rPr>
              <w:t xml:space="preserve">16 год. 45 хв. 14 червня </w:t>
            </w:r>
            <w:r>
              <w:rPr>
                <w:b/>
                <w:spacing w:val="-6"/>
                <w:lang w:val="uk-UA"/>
              </w:rPr>
              <w:t>2019</w:t>
            </w:r>
            <w:r w:rsidRPr="00AF2FAC">
              <w:rPr>
                <w:b/>
                <w:spacing w:val="-6"/>
                <w:lang w:val="uk-UA"/>
              </w:rPr>
              <w:t xml:space="preserve"> року.</w:t>
            </w:r>
          </w:p>
          <w:p w:rsidR="00C3299F" w:rsidRPr="0092023D" w:rsidRDefault="00C3299F" w:rsidP="00C3299F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>за адресою</w:t>
            </w:r>
            <w:r w:rsidRPr="005F6986">
              <w:rPr>
                <w:spacing w:val="-6"/>
                <w:lang w:val="uk-UA"/>
              </w:rPr>
              <w:t xml:space="preserve">: </w:t>
            </w:r>
            <w:r w:rsidRPr="00AF2FAC">
              <w:rPr>
                <w:b/>
                <w:spacing w:val="-6"/>
                <w:lang w:val="uk-UA"/>
              </w:rPr>
              <w:t>м. Київ, Дружби народів, 28 (скринька для вхідної кореспонденції при вході у приміщення).</w:t>
            </w:r>
          </w:p>
        </w:tc>
      </w:tr>
      <w:tr w:rsidR="00C3299F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C3299F" w:rsidRPr="00503299" w:rsidRDefault="00C3299F" w:rsidP="00C3299F">
            <w:pPr>
              <w:pStyle w:val="rvps14"/>
            </w:pPr>
            <w:r>
              <w:t>М</w:t>
            </w:r>
            <w:r w:rsidRPr="00503299">
              <w:t>ісце</w:t>
            </w:r>
            <w:r>
              <w:t>, час та дата початку</w:t>
            </w:r>
            <w:r w:rsidRPr="00503299">
              <w:t xml:space="preserve"> проведення конкурсу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299F" w:rsidRPr="0092023D" w:rsidRDefault="00C3299F" w:rsidP="00C3299F">
            <w:pPr>
              <w:pStyle w:val="a4"/>
              <w:spacing w:before="0" w:beforeAutospacing="0" w:after="0" w:afterAutospacing="0" w:line="276" w:lineRule="auto"/>
              <w:jc w:val="both"/>
              <w:rPr>
                <w:spacing w:val="-6"/>
                <w:lang w:val="uk-UA" w:eastAsia="en-US"/>
              </w:rPr>
            </w:pPr>
            <w:r w:rsidRPr="006C6C8E">
              <w:rPr>
                <w:spacing w:val="-6"/>
                <w:lang w:val="uk-UA" w:eastAsia="en-US"/>
              </w:rPr>
              <w:t xml:space="preserve">21 червня </w:t>
            </w:r>
            <w:r>
              <w:rPr>
                <w:spacing w:val="-6"/>
                <w:lang w:val="uk-UA" w:eastAsia="en-US"/>
              </w:rPr>
              <w:t>2019</w:t>
            </w:r>
            <w:r w:rsidRPr="0092023D">
              <w:rPr>
                <w:spacing w:val="-6"/>
                <w:lang w:val="uk-UA" w:eastAsia="en-US"/>
              </w:rPr>
              <w:t xml:space="preserve"> року м. Київ, бульвар Дружби народів, 28 - електронне тестування (про час буде поінформовано додатково).</w:t>
            </w:r>
          </w:p>
        </w:tc>
      </w:tr>
      <w:tr w:rsidR="00C3299F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C3299F" w:rsidRPr="00503299" w:rsidRDefault="00C3299F" w:rsidP="00C3299F">
            <w:pPr>
              <w:pStyle w:val="rvps14"/>
            </w:pPr>
            <w:r w:rsidRPr="0050329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3299F" w:rsidRPr="002279BE" w:rsidRDefault="00C3299F" w:rsidP="00C3299F">
            <w:pPr>
              <w:pStyle w:val="a4"/>
              <w:spacing w:before="0" w:beforeAutospacing="0" w:after="0" w:afterAutospacing="0"/>
              <w:ind w:left="49"/>
              <w:jc w:val="both"/>
              <w:rPr>
                <w:color w:val="000000" w:themeColor="text1"/>
              </w:rPr>
            </w:pPr>
            <w:r>
              <w:rPr>
                <w:lang w:val="uk-UA"/>
              </w:rPr>
              <w:t>Баранчук Ірина Віталіївна, р.</w:t>
            </w:r>
            <w:r w:rsidRPr="0024136B">
              <w:t xml:space="preserve"> </w:t>
            </w:r>
            <w:r>
              <w:rPr>
                <w:lang w:val="uk-UA"/>
              </w:rPr>
              <w:t>т</w:t>
            </w:r>
            <w:r w:rsidR="00EF7ADB">
              <w:rPr>
                <w:lang w:val="uk-UA"/>
              </w:rPr>
              <w:t>.</w:t>
            </w:r>
            <w:r>
              <w:rPr>
                <w:lang w:val="uk-UA"/>
              </w:rPr>
              <w:t xml:space="preserve"> (044) 200 08 35,</w:t>
            </w:r>
            <w:r w:rsidRPr="002279BE">
              <w:t xml:space="preserve"> &lt;</w:t>
            </w:r>
            <w:r>
              <w:rPr>
                <w:lang w:val="uk-UA"/>
              </w:rPr>
              <w:t>i.baranchuk@nazk.gov.ua</w:t>
            </w:r>
            <w:r w:rsidRPr="002279BE">
              <w:t>&gt;</w:t>
            </w:r>
          </w:p>
        </w:tc>
      </w:tr>
      <w:tr w:rsidR="00C3299F" w:rsidRPr="00503299" w:rsidTr="00234FE9">
        <w:tc>
          <w:tcPr>
            <w:tcW w:w="147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3299F" w:rsidRPr="00EF28D2" w:rsidRDefault="00C3299F" w:rsidP="00C3299F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C3299F" w:rsidRPr="00503299" w:rsidTr="00234FE9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3299F" w:rsidRPr="00503299" w:rsidRDefault="00C3299F" w:rsidP="00C3299F">
            <w:pPr>
              <w:pStyle w:val="rvps12"/>
            </w:pPr>
            <w:r>
              <w:t xml:space="preserve">  1.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3299F" w:rsidRPr="00503299" w:rsidRDefault="00C3299F" w:rsidP="00C3299F">
            <w:pPr>
              <w:pStyle w:val="rvps12"/>
              <w:ind w:left="11"/>
            </w:pPr>
            <w:r w:rsidRPr="00503299">
              <w:t>Освіта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3299F" w:rsidRPr="00503299" w:rsidRDefault="00C3299F" w:rsidP="00C3299F">
            <w:pPr>
              <w:pStyle w:val="rvps14"/>
            </w:pPr>
            <w:r>
              <w:t>Вища освіта за освітнім ступенем не нижче магістра</w:t>
            </w:r>
          </w:p>
        </w:tc>
      </w:tr>
      <w:tr w:rsidR="00C3299F" w:rsidRPr="00503299" w:rsidTr="00234FE9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3299F" w:rsidRPr="00503299" w:rsidRDefault="00C3299F" w:rsidP="00C3299F">
            <w:pPr>
              <w:pStyle w:val="rvps12"/>
            </w:pPr>
            <w:r>
              <w:t xml:space="preserve">  2.   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3299F" w:rsidRPr="00503299" w:rsidRDefault="00C3299F" w:rsidP="00C3299F">
            <w:pPr>
              <w:pStyle w:val="rvps12"/>
            </w:pPr>
            <w:r w:rsidRPr="00503299">
              <w:t>Досвід роботи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3299F" w:rsidRPr="00503299" w:rsidRDefault="00C3299F" w:rsidP="00C3299F">
            <w:pPr>
              <w:pStyle w:val="rvps14"/>
            </w:pPr>
            <w:r>
              <w:t>Досвід роботи на посадах державної служби категорії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3299F" w:rsidRPr="00503299" w:rsidTr="00234FE9">
        <w:trPr>
          <w:trHeight w:val="392"/>
        </w:trPr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3299F" w:rsidRPr="00503299" w:rsidRDefault="00C3299F" w:rsidP="00C3299F">
            <w:pPr>
              <w:pStyle w:val="rvps12"/>
            </w:pPr>
            <w:r>
              <w:t xml:space="preserve">  3.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3299F" w:rsidRPr="00503299" w:rsidRDefault="00C3299F" w:rsidP="00C3299F">
            <w:pPr>
              <w:pStyle w:val="rvps12"/>
            </w:pPr>
            <w:r w:rsidRPr="00503299">
              <w:t>Володіння державною мовою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3299F" w:rsidRDefault="00C3299F" w:rsidP="00C3299F">
            <w:pPr>
              <w:pStyle w:val="rvps14"/>
              <w:rPr>
                <w:rStyle w:val="rvts0"/>
              </w:rPr>
            </w:pPr>
            <w:r w:rsidRPr="00503299">
              <w:rPr>
                <w:rStyle w:val="rvts0"/>
              </w:rPr>
              <w:t>вільне володіння державною мовою</w:t>
            </w:r>
          </w:p>
          <w:p w:rsidR="00C3299F" w:rsidRPr="00503299" w:rsidRDefault="00C3299F" w:rsidP="00C3299F">
            <w:pPr>
              <w:pStyle w:val="rvps14"/>
            </w:pPr>
          </w:p>
        </w:tc>
      </w:tr>
    </w:tbl>
    <w:p w:rsidR="006538B1" w:rsidRDefault="006538B1" w:rsidP="00E90A52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 xml:space="preserve">  </w:t>
      </w:r>
    </w:p>
    <w:tbl>
      <w:tblPr>
        <w:tblW w:w="4909" w:type="pct"/>
        <w:tblCellSpacing w:w="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4"/>
        <w:gridCol w:w="4177"/>
        <w:gridCol w:w="10122"/>
      </w:tblGrid>
      <w:tr w:rsidR="006538B1" w:rsidRPr="006538B1" w:rsidTr="005E5973">
        <w:trPr>
          <w:tblCellSpacing w:w="22" w:type="dxa"/>
        </w:trPr>
        <w:tc>
          <w:tcPr>
            <w:tcW w:w="4970" w:type="pct"/>
            <w:gridSpan w:val="3"/>
            <w:vAlign w:val="center"/>
          </w:tcPr>
          <w:p w:rsidR="006538B1" w:rsidRPr="006538B1" w:rsidRDefault="006538B1" w:rsidP="006538B1">
            <w:pPr>
              <w:ind w:firstLine="0"/>
              <w:jc w:val="center"/>
              <w:rPr>
                <w:b/>
                <w:szCs w:val="28"/>
              </w:rPr>
            </w:pPr>
            <w:r w:rsidRPr="006538B1">
              <w:rPr>
                <w:b/>
                <w:szCs w:val="28"/>
              </w:rPr>
              <w:t>Вимоги до компетентності</w:t>
            </w:r>
          </w:p>
        </w:tc>
      </w:tr>
      <w:tr w:rsidR="006538B1" w:rsidRPr="006538B1" w:rsidTr="005E5973">
        <w:trPr>
          <w:tblCellSpacing w:w="22" w:type="dxa"/>
        </w:trPr>
        <w:tc>
          <w:tcPr>
            <w:tcW w:w="1539" w:type="pct"/>
            <w:gridSpan w:val="2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Вимога</w:t>
            </w:r>
          </w:p>
        </w:tc>
        <w:tc>
          <w:tcPr>
            <w:tcW w:w="3416" w:type="pct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Компоненти вимоги</w:t>
            </w:r>
          </w:p>
        </w:tc>
      </w:tr>
      <w:tr w:rsidR="006538B1" w:rsidRPr="006538B1" w:rsidTr="005E5973">
        <w:trPr>
          <w:tblCellSpacing w:w="22" w:type="dxa"/>
        </w:trPr>
        <w:tc>
          <w:tcPr>
            <w:tcW w:w="129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1.</w:t>
            </w:r>
          </w:p>
        </w:tc>
        <w:tc>
          <w:tcPr>
            <w:tcW w:w="1395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Уміння працювати з комп’ютером</w:t>
            </w:r>
          </w:p>
        </w:tc>
        <w:tc>
          <w:tcPr>
            <w:tcW w:w="3416" w:type="pct"/>
          </w:tcPr>
          <w:p w:rsidR="006538B1" w:rsidRPr="00E429D6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впевнений користувач ПК: Microsoft О</w:t>
            </w:r>
            <w:proofErr w:type="spellStart"/>
            <w:r w:rsidRPr="006538B1">
              <w:rPr>
                <w:color w:val="000000"/>
                <w:sz w:val="24"/>
                <w:lang w:val="en-US"/>
              </w:rPr>
              <w:t>ffice</w:t>
            </w:r>
            <w:proofErr w:type="spellEnd"/>
            <w:r w:rsidR="00E429D6">
              <w:rPr>
                <w:color w:val="000000"/>
                <w:sz w:val="24"/>
              </w:rPr>
              <w:t>; робота з програмним забезпеченням системи «ЛІГА ЗАКОН»</w:t>
            </w:r>
          </w:p>
          <w:p w:rsidR="005F6986" w:rsidRPr="006538B1" w:rsidRDefault="005F6986" w:rsidP="00E429D6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5A6F5F" w:rsidRPr="006538B1" w:rsidTr="005E5973">
        <w:trPr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2.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ділові якості</w:t>
            </w:r>
          </w:p>
        </w:tc>
        <w:tc>
          <w:tcPr>
            <w:tcW w:w="3416" w:type="pct"/>
          </w:tcPr>
          <w:p w:rsidR="005F6986" w:rsidRPr="00E12E4B" w:rsidRDefault="00E429D6" w:rsidP="00E429D6">
            <w:pPr>
              <w:pStyle w:val="ac"/>
              <w:ind w:left="57" w:hanging="44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9D5DCD">
              <w:rPr>
                <w:sz w:val="24"/>
              </w:rPr>
              <w:t>міння працювати в команді</w:t>
            </w:r>
            <w:r>
              <w:rPr>
                <w:sz w:val="24"/>
              </w:rPr>
              <w:t>, уміння організовувати роботу,</w:t>
            </w:r>
            <w:r w:rsidRPr="009D5DCD">
              <w:rPr>
                <w:sz w:val="24"/>
              </w:rPr>
              <w:t xml:space="preserve"> аналітичні здібності, лідерські якості, вміння розподіляти роботу, виваженість, здатність концентруватись на деталях, адаптивність, вміння вести перемовини, організаторські здібності, стресостійкість, вимогливість, вміння визначати пріоритети, вміння аргументовано доводити власну точку зор</w:t>
            </w:r>
            <w:r>
              <w:rPr>
                <w:sz w:val="24"/>
              </w:rPr>
              <w:t>у, навички розв’язання проблем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3.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особистісні якості</w:t>
            </w:r>
          </w:p>
        </w:tc>
        <w:tc>
          <w:tcPr>
            <w:tcW w:w="3416" w:type="pct"/>
          </w:tcPr>
          <w:p w:rsidR="005A6F5F" w:rsidRDefault="005A6F5F" w:rsidP="005A6F5F">
            <w:pPr>
              <w:spacing w:before="60" w:after="60"/>
              <w:ind w:left="57" w:hanging="44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</w:t>
            </w:r>
            <w:r w:rsidRPr="00E12E4B">
              <w:rPr>
                <w:sz w:val="24"/>
                <w:lang w:eastAsia="uk-UA"/>
              </w:rPr>
              <w:t xml:space="preserve">ініціативність, порядність, дисциплінованість, готовність допомогти, контроль емоцій, </w:t>
            </w:r>
            <w:r>
              <w:rPr>
                <w:sz w:val="24"/>
                <w:lang w:eastAsia="uk-UA"/>
              </w:rPr>
              <w:t xml:space="preserve"> </w:t>
            </w:r>
            <w:r w:rsidRPr="00E12E4B">
              <w:rPr>
                <w:sz w:val="24"/>
                <w:lang w:eastAsia="uk-UA"/>
              </w:rPr>
              <w:t>комунікабельність, повага до інших, відповідальність</w:t>
            </w:r>
          </w:p>
          <w:p w:rsidR="008E33AD" w:rsidRPr="00E12E4B" w:rsidRDefault="008E33AD" w:rsidP="005A6F5F">
            <w:pPr>
              <w:spacing w:before="60" w:after="60"/>
              <w:ind w:left="57" w:hanging="44"/>
              <w:rPr>
                <w:sz w:val="24"/>
                <w:lang w:eastAsia="uk-UA"/>
              </w:rPr>
            </w:pPr>
          </w:p>
        </w:tc>
      </w:tr>
      <w:tr w:rsidR="005A6F5F" w:rsidRPr="006538B1" w:rsidTr="005E5973">
        <w:trPr>
          <w:tblCellSpacing w:w="22" w:type="dxa"/>
        </w:trPr>
        <w:tc>
          <w:tcPr>
            <w:tcW w:w="4970" w:type="pct"/>
            <w:gridSpan w:val="3"/>
          </w:tcPr>
          <w:p w:rsidR="005A6F5F" w:rsidRPr="006538B1" w:rsidRDefault="005A6F5F" w:rsidP="005A6F5F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538B1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1539" w:type="pct"/>
            <w:gridSpan w:val="2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Вимога</w:t>
            </w:r>
          </w:p>
        </w:tc>
        <w:tc>
          <w:tcPr>
            <w:tcW w:w="3416" w:type="pct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Компоненти вимоги</w:t>
            </w:r>
          </w:p>
        </w:tc>
      </w:tr>
      <w:tr w:rsidR="005A6F5F" w:rsidRPr="006538B1" w:rsidTr="005E5973">
        <w:trPr>
          <w:trHeight w:val="870"/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1.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законодавства</w:t>
            </w:r>
          </w:p>
        </w:tc>
        <w:tc>
          <w:tcPr>
            <w:tcW w:w="3416" w:type="pct"/>
          </w:tcPr>
          <w:p w:rsidR="005A6F5F" w:rsidRPr="006538B1" w:rsidRDefault="008A08E6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8" w:tgtFrame="_top" w:history="1">
              <w:r w:rsidR="005A6F5F" w:rsidRPr="006538B1">
                <w:rPr>
                  <w:color w:val="000000"/>
                  <w:sz w:val="24"/>
                </w:rPr>
                <w:t>Конституція України</w:t>
              </w:r>
            </w:hyperlink>
            <w:r w:rsidR="005A6F5F" w:rsidRPr="006538B1">
              <w:rPr>
                <w:color w:val="000000"/>
                <w:sz w:val="24"/>
              </w:rPr>
              <w:t>;</w:t>
            </w:r>
          </w:p>
          <w:p w:rsidR="005A6F5F" w:rsidRPr="006538B1" w:rsidRDefault="008A08E6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9" w:tgtFrame="_top" w:history="1">
              <w:r w:rsidR="005A6F5F" w:rsidRPr="006538B1">
                <w:rPr>
                  <w:color w:val="000000"/>
                  <w:sz w:val="24"/>
                </w:rPr>
                <w:t>Закон України «Про державну службу</w:t>
              </w:r>
            </w:hyperlink>
            <w:r w:rsidR="005A6F5F" w:rsidRPr="006538B1">
              <w:rPr>
                <w:rFonts w:cs="Calibri"/>
                <w:sz w:val="24"/>
                <w:lang w:eastAsia="en-US"/>
              </w:rPr>
              <w:t>»</w:t>
            </w:r>
            <w:r w:rsidR="005A6F5F" w:rsidRPr="006538B1">
              <w:rPr>
                <w:color w:val="000000"/>
                <w:sz w:val="24"/>
              </w:rPr>
              <w:t>;</w:t>
            </w:r>
          </w:p>
          <w:p w:rsidR="005A6F5F" w:rsidRPr="006538B1" w:rsidRDefault="008A08E6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rFonts w:cs="Calibri"/>
                <w:szCs w:val="22"/>
                <w:lang w:eastAsia="en-US"/>
              </w:rPr>
            </w:pPr>
            <w:hyperlink r:id="rId10" w:tgtFrame="_top" w:history="1">
              <w:r w:rsidR="005A6F5F" w:rsidRPr="006538B1">
                <w:rPr>
                  <w:color w:val="000000"/>
                  <w:sz w:val="24"/>
                </w:rPr>
                <w:t>Закон України «Про запобігання корупції</w:t>
              </w:r>
            </w:hyperlink>
            <w:r w:rsidR="005A6F5F" w:rsidRPr="006538B1">
              <w:rPr>
                <w:rFonts w:cs="Calibri"/>
                <w:sz w:val="24"/>
                <w:lang w:eastAsia="en-US"/>
              </w:rPr>
              <w:t>».</w:t>
            </w:r>
          </w:p>
        </w:tc>
      </w:tr>
      <w:tr w:rsidR="00EF3290" w:rsidRPr="006538B1" w:rsidTr="005E5973">
        <w:trPr>
          <w:trHeight w:val="334"/>
          <w:tblCellSpacing w:w="22" w:type="dxa"/>
        </w:trPr>
        <w:tc>
          <w:tcPr>
            <w:tcW w:w="129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2.</w:t>
            </w:r>
          </w:p>
        </w:tc>
        <w:tc>
          <w:tcPr>
            <w:tcW w:w="1395" w:type="pct"/>
          </w:tcPr>
          <w:p w:rsidR="00EF3290" w:rsidRPr="006538B1" w:rsidRDefault="00EF3290" w:rsidP="00EF3290">
            <w:pPr>
              <w:ind w:firstLine="0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4" w:rsidRDefault="00D25014" w:rsidP="00D25014">
            <w:pPr>
              <w:pStyle w:val="ac"/>
              <w:numPr>
                <w:ilvl w:val="0"/>
                <w:numId w:val="9"/>
              </w:numPr>
              <w:spacing w:after="80"/>
              <w:jc w:val="left"/>
              <w:rPr>
                <w:sz w:val="24"/>
              </w:rPr>
            </w:pPr>
            <w:r>
              <w:rPr>
                <w:sz w:val="24"/>
              </w:rPr>
              <w:t>Закон України «Про освіту»</w:t>
            </w:r>
          </w:p>
          <w:p w:rsidR="00D25014" w:rsidRDefault="00D25014" w:rsidP="00D25014">
            <w:pPr>
              <w:pStyle w:val="ac"/>
              <w:numPr>
                <w:ilvl w:val="0"/>
                <w:numId w:val="9"/>
              </w:numPr>
              <w:spacing w:after="80"/>
              <w:jc w:val="left"/>
              <w:rPr>
                <w:sz w:val="24"/>
              </w:rPr>
            </w:pPr>
            <w:r>
              <w:rPr>
                <w:sz w:val="24"/>
              </w:rPr>
              <w:t>Закон України «Про інформацію»;</w:t>
            </w:r>
          </w:p>
          <w:p w:rsidR="00D25014" w:rsidRDefault="00D25014" w:rsidP="00D25014">
            <w:pPr>
              <w:pStyle w:val="ac"/>
              <w:numPr>
                <w:ilvl w:val="0"/>
                <w:numId w:val="9"/>
              </w:numPr>
              <w:spacing w:after="80"/>
              <w:jc w:val="left"/>
              <w:rPr>
                <w:sz w:val="24"/>
              </w:rPr>
            </w:pPr>
            <w:r>
              <w:rPr>
                <w:sz w:val="24"/>
              </w:rPr>
              <w:t>Закон України «Про доступ до публічної інформації»;</w:t>
            </w:r>
          </w:p>
          <w:p w:rsidR="00D25014" w:rsidRPr="00C378B3" w:rsidRDefault="00D25014" w:rsidP="00D2501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C378B3">
              <w:rPr>
                <w:sz w:val="24"/>
              </w:rPr>
              <w:t>Конвенція ООН проти корупції;</w:t>
            </w:r>
          </w:p>
          <w:p w:rsidR="00D25014" w:rsidRPr="00C378B3" w:rsidRDefault="00D25014" w:rsidP="00D2501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C378B3">
              <w:rPr>
                <w:sz w:val="24"/>
              </w:rPr>
              <w:t xml:space="preserve">Кримінальна конвенція про боротьбу з корупцією </w:t>
            </w:r>
          </w:p>
          <w:p w:rsidR="00D25014" w:rsidRPr="00C378B3" w:rsidRDefault="00D25014" w:rsidP="00D2501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C378B3">
              <w:rPr>
                <w:sz w:val="24"/>
              </w:rPr>
              <w:t>Цивільна конвенція про боротьбу з корупцією;</w:t>
            </w:r>
          </w:p>
          <w:p w:rsidR="00D25014" w:rsidRDefault="00D25014" w:rsidP="00D25014">
            <w:p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-     </w:t>
            </w:r>
            <w:r w:rsidRPr="00C378B3">
              <w:rPr>
                <w:sz w:val="24"/>
              </w:rPr>
              <w:t xml:space="preserve">Конвенція ООН проти транснаціональної організованої </w:t>
            </w:r>
            <w:r>
              <w:rPr>
                <w:sz w:val="24"/>
              </w:rPr>
              <w:t>злочинності;</w:t>
            </w:r>
          </w:p>
          <w:p w:rsidR="00EF3290" w:rsidRDefault="00D25014" w:rsidP="005B09FC">
            <w:p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E4A7F">
              <w:rPr>
                <w:sz w:val="24"/>
              </w:rPr>
              <w:t>-</w:t>
            </w:r>
            <w:r w:rsidR="005B09FC" w:rsidRPr="005B09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5B09FC" w:rsidRPr="005B09FC">
              <w:rPr>
                <w:sz w:val="24"/>
              </w:rPr>
              <w:t xml:space="preserve">Регламент Національного агентства з питань запобігання корупції, який затверджено </w:t>
            </w:r>
            <w:r>
              <w:rPr>
                <w:sz w:val="24"/>
              </w:rPr>
              <w:t xml:space="preserve">  </w:t>
            </w:r>
            <w:r w:rsidR="005B09FC" w:rsidRPr="005B09FC">
              <w:rPr>
                <w:sz w:val="24"/>
              </w:rPr>
              <w:t>рішенням Національного агентства з питань запобігання корупції від 12.04.2016 №1 (у редакції рішення Національного агентства з питань запобігання корупції ві</w:t>
            </w:r>
            <w:r>
              <w:rPr>
                <w:sz w:val="24"/>
              </w:rPr>
              <w:t>д 05.04.2018 № 611);</w:t>
            </w:r>
          </w:p>
          <w:p w:rsidR="00D25014" w:rsidRPr="005B09FC" w:rsidRDefault="009D2263" w:rsidP="009D2263">
            <w:p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- Положення про апарат Національного агентства з питань запобігання корупції.</w:t>
            </w:r>
          </w:p>
        </w:tc>
      </w:tr>
      <w:tr w:rsidR="00EF3290" w:rsidRPr="006538B1" w:rsidTr="005E5973">
        <w:trPr>
          <w:trHeight w:val="465"/>
          <w:tblCellSpacing w:w="22" w:type="dxa"/>
        </w:trPr>
        <w:tc>
          <w:tcPr>
            <w:tcW w:w="129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lastRenderedPageBreak/>
              <w:t>3.</w:t>
            </w:r>
          </w:p>
        </w:tc>
        <w:tc>
          <w:tcPr>
            <w:tcW w:w="1395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color w:val="000000"/>
                <w:sz w:val="24"/>
                <w:shd w:val="clear" w:color="auto" w:fill="FFFFFF"/>
                <w:lang w:eastAsia="en-US"/>
              </w:rPr>
              <w:t>Знання, необхідні для виконання посадових обов'язків</w:t>
            </w:r>
          </w:p>
        </w:tc>
        <w:tc>
          <w:tcPr>
            <w:tcW w:w="3416" w:type="pct"/>
          </w:tcPr>
          <w:p w:rsidR="009D2263" w:rsidRDefault="009D2263" w:rsidP="009D2263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знання практики</w:t>
            </w:r>
            <w:r w:rsidRPr="00564AE8">
              <w:rPr>
                <w:rFonts w:eastAsiaTheme="minorEastAsia"/>
                <w:bCs/>
                <w:sz w:val="24"/>
              </w:rPr>
              <w:t xml:space="preserve"> застосування Закону України «Про запобігання корупції»;</w:t>
            </w:r>
          </w:p>
          <w:p w:rsidR="009D2263" w:rsidRDefault="009D2263" w:rsidP="009D2263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знання основних</w:t>
            </w:r>
            <w:r w:rsidR="0000501A">
              <w:rPr>
                <w:rFonts w:eastAsiaTheme="minorEastAsia"/>
                <w:bCs/>
                <w:sz w:val="24"/>
              </w:rPr>
              <w:t xml:space="preserve"> перспективних напрямів</w:t>
            </w:r>
            <w:r w:rsidRPr="00D45D71">
              <w:rPr>
                <w:rFonts w:eastAsiaTheme="minorEastAsia"/>
                <w:bCs/>
                <w:sz w:val="24"/>
              </w:rPr>
              <w:t xml:space="preserve"> розвитку антикорупційної політики;</w:t>
            </w:r>
          </w:p>
          <w:p w:rsidR="009D2263" w:rsidRDefault="009D2263" w:rsidP="009D2263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 xml:space="preserve">знання </w:t>
            </w:r>
            <w:r w:rsidRPr="00D45D71">
              <w:rPr>
                <w:rFonts w:eastAsiaTheme="minorEastAsia"/>
                <w:bCs/>
                <w:sz w:val="24"/>
              </w:rPr>
              <w:t>механізм</w:t>
            </w:r>
            <w:r>
              <w:rPr>
                <w:rFonts w:eastAsiaTheme="minorEastAsia"/>
                <w:bCs/>
                <w:sz w:val="24"/>
              </w:rPr>
              <w:t>ів</w:t>
            </w:r>
            <w:r w:rsidRPr="00D45D71">
              <w:rPr>
                <w:rFonts w:eastAsiaTheme="minorEastAsia"/>
                <w:bCs/>
                <w:sz w:val="24"/>
              </w:rPr>
              <w:t xml:space="preserve"> науково-методичної та організаційної роботи щодо розроблення й запровадження програм навчальних та тренінгових занять з питань, пов’язаних із запобіганням корупції;</w:t>
            </w:r>
          </w:p>
          <w:p w:rsidR="009D2263" w:rsidRDefault="009D2263" w:rsidP="009D2263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 xml:space="preserve">знання алгоритму </w:t>
            </w:r>
            <w:r w:rsidRPr="00D45D71">
              <w:rPr>
                <w:rFonts w:eastAsiaTheme="minorEastAsia"/>
                <w:bCs/>
                <w:sz w:val="24"/>
              </w:rPr>
              <w:t>організації та проведення антикорупційних навчань;</w:t>
            </w:r>
          </w:p>
          <w:p w:rsidR="009D2263" w:rsidRDefault="009D2263" w:rsidP="009D2263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знання сучасних</w:t>
            </w:r>
            <w:r w:rsidRPr="00D45D71">
              <w:rPr>
                <w:rFonts w:eastAsiaTheme="minorEastAsia"/>
                <w:bCs/>
                <w:sz w:val="24"/>
              </w:rPr>
              <w:t xml:space="preserve"> </w:t>
            </w:r>
            <w:r>
              <w:rPr>
                <w:rFonts w:eastAsiaTheme="minorEastAsia"/>
                <w:bCs/>
                <w:sz w:val="24"/>
              </w:rPr>
              <w:t>технологій</w:t>
            </w:r>
            <w:r w:rsidRPr="00D45D71">
              <w:rPr>
                <w:rFonts w:eastAsiaTheme="minorEastAsia"/>
                <w:bCs/>
                <w:sz w:val="24"/>
              </w:rPr>
              <w:t>, які використовуються у тренінгах для візуалізації та презентації навчального матеріалу;</w:t>
            </w:r>
          </w:p>
          <w:p w:rsidR="009D2263" w:rsidRDefault="009D2263" w:rsidP="009D2263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знання алгоритму</w:t>
            </w:r>
            <w:r w:rsidRPr="00D45D71">
              <w:rPr>
                <w:rFonts w:eastAsiaTheme="minorEastAsia"/>
                <w:bCs/>
                <w:sz w:val="24"/>
              </w:rPr>
              <w:t xml:space="preserve"> взаємодії з інститутами громадянського суспільства в частині організації навчань з питань, пов’язаних із запобіганням корупції;</w:t>
            </w:r>
          </w:p>
          <w:p w:rsidR="00631C35" w:rsidRPr="008C282F" w:rsidRDefault="009D2263" w:rsidP="009D2263">
            <w:pPr>
              <w:numPr>
                <w:ilvl w:val="0"/>
                <w:numId w:val="8"/>
              </w:numPr>
              <w:spacing w:line="276" w:lineRule="auto"/>
              <w:jc w:val="left"/>
              <w:rPr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знання форм та методів</w:t>
            </w:r>
            <w:r w:rsidRPr="00D45D71">
              <w:rPr>
                <w:rFonts w:eastAsiaTheme="minorEastAsia"/>
                <w:bCs/>
                <w:sz w:val="24"/>
              </w:rPr>
              <w:t xml:space="preserve"> роботи із засоба</w:t>
            </w:r>
            <w:r>
              <w:rPr>
                <w:rFonts w:eastAsiaTheme="minorEastAsia"/>
                <w:bCs/>
                <w:sz w:val="24"/>
              </w:rPr>
              <w:t>ми масової інформації.</w:t>
            </w:r>
          </w:p>
        </w:tc>
      </w:tr>
    </w:tbl>
    <w:p w:rsidR="00E90A52" w:rsidRDefault="00E90A52" w:rsidP="00E90A52">
      <w:pPr>
        <w:ind w:firstLine="0"/>
        <w:jc w:val="left"/>
        <w:rPr>
          <w:bCs/>
          <w:szCs w:val="28"/>
        </w:rPr>
      </w:pPr>
    </w:p>
    <w:p w:rsidR="005B09FC" w:rsidRDefault="005B09FC" w:rsidP="00E90A52">
      <w:pPr>
        <w:ind w:firstLine="0"/>
        <w:jc w:val="left"/>
        <w:rPr>
          <w:bCs/>
          <w:szCs w:val="28"/>
        </w:rPr>
      </w:pPr>
    </w:p>
    <w:p w:rsidR="00D25014" w:rsidRPr="005B09FC" w:rsidRDefault="005B09FC" w:rsidP="008A08E6">
      <w:pPr>
        <w:ind w:firstLine="0"/>
        <w:jc w:val="left"/>
        <w:rPr>
          <w:b/>
          <w:bCs/>
          <w:szCs w:val="28"/>
        </w:rPr>
      </w:pPr>
      <w:r>
        <w:rPr>
          <w:bCs/>
          <w:szCs w:val="28"/>
        </w:rPr>
        <w:t xml:space="preserve">   </w:t>
      </w:r>
      <w:bookmarkStart w:id="2" w:name="_GoBack"/>
      <w:bookmarkEnd w:id="2"/>
    </w:p>
    <w:sectPr w:rsidR="00D25014" w:rsidRPr="005B09FC" w:rsidSect="00184B03">
      <w:pgSz w:w="16838" w:h="11906" w:orient="landscape"/>
      <w:pgMar w:top="568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1E"/>
    <w:multiLevelType w:val="hybridMultilevel"/>
    <w:tmpl w:val="E9A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E2D"/>
    <w:multiLevelType w:val="hybridMultilevel"/>
    <w:tmpl w:val="4DB2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3B5"/>
    <w:multiLevelType w:val="hybridMultilevel"/>
    <w:tmpl w:val="098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FD"/>
    <w:multiLevelType w:val="hybridMultilevel"/>
    <w:tmpl w:val="B83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40817"/>
    <w:multiLevelType w:val="hybridMultilevel"/>
    <w:tmpl w:val="2046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5354B7"/>
    <w:multiLevelType w:val="hybridMultilevel"/>
    <w:tmpl w:val="4A1E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597A"/>
    <w:multiLevelType w:val="hybridMultilevel"/>
    <w:tmpl w:val="B2C8275A"/>
    <w:lvl w:ilvl="0" w:tplc="0CB27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6495"/>
    <w:multiLevelType w:val="hybridMultilevel"/>
    <w:tmpl w:val="295AD1A0"/>
    <w:lvl w:ilvl="0" w:tplc="D2D6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2C2770"/>
    <w:multiLevelType w:val="hybridMultilevel"/>
    <w:tmpl w:val="ADE6E4C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925788"/>
    <w:multiLevelType w:val="hybridMultilevel"/>
    <w:tmpl w:val="6754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A58E2"/>
    <w:multiLevelType w:val="hybridMultilevel"/>
    <w:tmpl w:val="8FAADD4E"/>
    <w:lvl w:ilvl="0" w:tplc="8760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E7CF3"/>
    <w:multiLevelType w:val="hybridMultilevel"/>
    <w:tmpl w:val="63B8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6173E"/>
    <w:multiLevelType w:val="hybridMultilevel"/>
    <w:tmpl w:val="EB90911E"/>
    <w:lvl w:ilvl="0" w:tplc="B63EF3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643C15DD"/>
    <w:multiLevelType w:val="hybridMultilevel"/>
    <w:tmpl w:val="85CEAB50"/>
    <w:lvl w:ilvl="0" w:tplc="C360E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36EBB"/>
    <w:multiLevelType w:val="hybridMultilevel"/>
    <w:tmpl w:val="D73A7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2EF7988"/>
    <w:multiLevelType w:val="hybridMultilevel"/>
    <w:tmpl w:val="CA90A54A"/>
    <w:lvl w:ilvl="0" w:tplc="349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9B3BFE"/>
    <w:multiLevelType w:val="hybridMultilevel"/>
    <w:tmpl w:val="A1407F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1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501A"/>
    <w:rsid w:val="0001772D"/>
    <w:rsid w:val="00025045"/>
    <w:rsid w:val="00036591"/>
    <w:rsid w:val="00042786"/>
    <w:rsid w:val="00044B38"/>
    <w:rsid w:val="000522DE"/>
    <w:rsid w:val="000553AD"/>
    <w:rsid w:val="0007248A"/>
    <w:rsid w:val="00083973"/>
    <w:rsid w:val="000A3DC3"/>
    <w:rsid w:val="000C2F47"/>
    <w:rsid w:val="000C432A"/>
    <w:rsid w:val="000C79C3"/>
    <w:rsid w:val="000E1A18"/>
    <w:rsid w:val="000F2F2E"/>
    <w:rsid w:val="000F3E45"/>
    <w:rsid w:val="0011264E"/>
    <w:rsid w:val="0012467A"/>
    <w:rsid w:val="001262B4"/>
    <w:rsid w:val="00126BE5"/>
    <w:rsid w:val="00133098"/>
    <w:rsid w:val="0013672B"/>
    <w:rsid w:val="00152AAD"/>
    <w:rsid w:val="00155035"/>
    <w:rsid w:val="00155F68"/>
    <w:rsid w:val="0016330C"/>
    <w:rsid w:val="00184B03"/>
    <w:rsid w:val="00194E0B"/>
    <w:rsid w:val="00195B32"/>
    <w:rsid w:val="001B30D5"/>
    <w:rsid w:val="001C0FB0"/>
    <w:rsid w:val="001D344E"/>
    <w:rsid w:val="001D6F4F"/>
    <w:rsid w:val="001E179B"/>
    <w:rsid w:val="001E3AB3"/>
    <w:rsid w:val="001F7F1D"/>
    <w:rsid w:val="002279BE"/>
    <w:rsid w:val="00234FE9"/>
    <w:rsid w:val="0024136B"/>
    <w:rsid w:val="00266096"/>
    <w:rsid w:val="00271741"/>
    <w:rsid w:val="00275EDC"/>
    <w:rsid w:val="00276D91"/>
    <w:rsid w:val="00296A1B"/>
    <w:rsid w:val="002C28FB"/>
    <w:rsid w:val="002C7DD2"/>
    <w:rsid w:val="002E2098"/>
    <w:rsid w:val="00302A53"/>
    <w:rsid w:val="00303713"/>
    <w:rsid w:val="00317FC3"/>
    <w:rsid w:val="0034438F"/>
    <w:rsid w:val="00350575"/>
    <w:rsid w:val="003544DF"/>
    <w:rsid w:val="00360366"/>
    <w:rsid w:val="00377ABE"/>
    <w:rsid w:val="00383AA3"/>
    <w:rsid w:val="00383C18"/>
    <w:rsid w:val="0039051A"/>
    <w:rsid w:val="00397AEA"/>
    <w:rsid w:val="003B00AA"/>
    <w:rsid w:val="003C0D58"/>
    <w:rsid w:val="003C311D"/>
    <w:rsid w:val="003C3A83"/>
    <w:rsid w:val="003D03AF"/>
    <w:rsid w:val="003D5944"/>
    <w:rsid w:val="003E0C01"/>
    <w:rsid w:val="003E4033"/>
    <w:rsid w:val="003E4AA9"/>
    <w:rsid w:val="003E72D1"/>
    <w:rsid w:val="003F7899"/>
    <w:rsid w:val="00403488"/>
    <w:rsid w:val="00423328"/>
    <w:rsid w:val="00430DBD"/>
    <w:rsid w:val="00436371"/>
    <w:rsid w:val="00440E66"/>
    <w:rsid w:val="004434D8"/>
    <w:rsid w:val="00443B69"/>
    <w:rsid w:val="00470042"/>
    <w:rsid w:val="00473088"/>
    <w:rsid w:val="00477942"/>
    <w:rsid w:val="00483121"/>
    <w:rsid w:val="00485BBE"/>
    <w:rsid w:val="00487296"/>
    <w:rsid w:val="0049120B"/>
    <w:rsid w:val="004D1333"/>
    <w:rsid w:val="004D3F8A"/>
    <w:rsid w:val="004F6138"/>
    <w:rsid w:val="00514729"/>
    <w:rsid w:val="005156E2"/>
    <w:rsid w:val="005225DB"/>
    <w:rsid w:val="0052384C"/>
    <w:rsid w:val="00532A6C"/>
    <w:rsid w:val="00536933"/>
    <w:rsid w:val="005448FF"/>
    <w:rsid w:val="00591CA1"/>
    <w:rsid w:val="005A6F5F"/>
    <w:rsid w:val="005B09FC"/>
    <w:rsid w:val="005C3467"/>
    <w:rsid w:val="005D03F7"/>
    <w:rsid w:val="005E0D74"/>
    <w:rsid w:val="005E221C"/>
    <w:rsid w:val="005E5973"/>
    <w:rsid w:val="005F3781"/>
    <w:rsid w:val="005F6986"/>
    <w:rsid w:val="00601D0F"/>
    <w:rsid w:val="00614E9A"/>
    <w:rsid w:val="00617C74"/>
    <w:rsid w:val="00627F4D"/>
    <w:rsid w:val="00631C35"/>
    <w:rsid w:val="00644E64"/>
    <w:rsid w:val="006538B1"/>
    <w:rsid w:val="00655B76"/>
    <w:rsid w:val="006578A2"/>
    <w:rsid w:val="0066296E"/>
    <w:rsid w:val="00667514"/>
    <w:rsid w:val="00670A99"/>
    <w:rsid w:val="0067304D"/>
    <w:rsid w:val="006A45AA"/>
    <w:rsid w:val="006A781C"/>
    <w:rsid w:val="006B0E16"/>
    <w:rsid w:val="006C2FC8"/>
    <w:rsid w:val="006C6C8E"/>
    <w:rsid w:val="006C6E97"/>
    <w:rsid w:val="006D46ED"/>
    <w:rsid w:val="006E209A"/>
    <w:rsid w:val="0070139E"/>
    <w:rsid w:val="007019D1"/>
    <w:rsid w:val="007041B6"/>
    <w:rsid w:val="007153DC"/>
    <w:rsid w:val="00723CB5"/>
    <w:rsid w:val="00760B90"/>
    <w:rsid w:val="00772EF8"/>
    <w:rsid w:val="007777C6"/>
    <w:rsid w:val="007A3698"/>
    <w:rsid w:val="007B6D36"/>
    <w:rsid w:val="007D4C0F"/>
    <w:rsid w:val="007E48B8"/>
    <w:rsid w:val="007E78C3"/>
    <w:rsid w:val="007F1FEA"/>
    <w:rsid w:val="00802605"/>
    <w:rsid w:val="0080619E"/>
    <w:rsid w:val="00810B75"/>
    <w:rsid w:val="0082025A"/>
    <w:rsid w:val="00826827"/>
    <w:rsid w:val="0084463C"/>
    <w:rsid w:val="008731F5"/>
    <w:rsid w:val="00873C7F"/>
    <w:rsid w:val="00884AD3"/>
    <w:rsid w:val="00891A48"/>
    <w:rsid w:val="008A08E6"/>
    <w:rsid w:val="008A4C6D"/>
    <w:rsid w:val="008B09BE"/>
    <w:rsid w:val="008B260B"/>
    <w:rsid w:val="008C17CF"/>
    <w:rsid w:val="008C282F"/>
    <w:rsid w:val="008D1128"/>
    <w:rsid w:val="008D2751"/>
    <w:rsid w:val="008D3583"/>
    <w:rsid w:val="008D63E0"/>
    <w:rsid w:val="008E33AD"/>
    <w:rsid w:val="008E595E"/>
    <w:rsid w:val="008F0F98"/>
    <w:rsid w:val="009048B9"/>
    <w:rsid w:val="0092023D"/>
    <w:rsid w:val="00920FE9"/>
    <w:rsid w:val="00922D30"/>
    <w:rsid w:val="00922D6E"/>
    <w:rsid w:val="00932537"/>
    <w:rsid w:val="0093411E"/>
    <w:rsid w:val="00940EA2"/>
    <w:rsid w:val="00942996"/>
    <w:rsid w:val="00944C3B"/>
    <w:rsid w:val="00951C79"/>
    <w:rsid w:val="009522A6"/>
    <w:rsid w:val="00960557"/>
    <w:rsid w:val="00962879"/>
    <w:rsid w:val="00965D6E"/>
    <w:rsid w:val="009704C6"/>
    <w:rsid w:val="00973754"/>
    <w:rsid w:val="0097494A"/>
    <w:rsid w:val="009D2263"/>
    <w:rsid w:val="009E20A4"/>
    <w:rsid w:val="009F0B2A"/>
    <w:rsid w:val="00A057F5"/>
    <w:rsid w:val="00A1531C"/>
    <w:rsid w:val="00A236AE"/>
    <w:rsid w:val="00A300AA"/>
    <w:rsid w:val="00A34A2F"/>
    <w:rsid w:val="00A36A7C"/>
    <w:rsid w:val="00A7305E"/>
    <w:rsid w:val="00A75014"/>
    <w:rsid w:val="00A75336"/>
    <w:rsid w:val="00A957A2"/>
    <w:rsid w:val="00AA5B20"/>
    <w:rsid w:val="00AC0439"/>
    <w:rsid w:val="00AD0B1D"/>
    <w:rsid w:val="00AD2A5F"/>
    <w:rsid w:val="00AE1F90"/>
    <w:rsid w:val="00AE4A7F"/>
    <w:rsid w:val="00AF210A"/>
    <w:rsid w:val="00AF2FA3"/>
    <w:rsid w:val="00AF2FAC"/>
    <w:rsid w:val="00B03EC6"/>
    <w:rsid w:val="00B17069"/>
    <w:rsid w:val="00B20856"/>
    <w:rsid w:val="00B2116B"/>
    <w:rsid w:val="00B3012F"/>
    <w:rsid w:val="00B431BB"/>
    <w:rsid w:val="00B547D8"/>
    <w:rsid w:val="00B560BB"/>
    <w:rsid w:val="00B56403"/>
    <w:rsid w:val="00B63ACA"/>
    <w:rsid w:val="00B96A6E"/>
    <w:rsid w:val="00BA4377"/>
    <w:rsid w:val="00BC4E6F"/>
    <w:rsid w:val="00BE0552"/>
    <w:rsid w:val="00BE4D5E"/>
    <w:rsid w:val="00BF4F22"/>
    <w:rsid w:val="00C147EF"/>
    <w:rsid w:val="00C22559"/>
    <w:rsid w:val="00C3299F"/>
    <w:rsid w:val="00C32E2E"/>
    <w:rsid w:val="00C369FF"/>
    <w:rsid w:val="00C47934"/>
    <w:rsid w:val="00C5315E"/>
    <w:rsid w:val="00C536BC"/>
    <w:rsid w:val="00C53B44"/>
    <w:rsid w:val="00C53BA9"/>
    <w:rsid w:val="00C72C01"/>
    <w:rsid w:val="00C75B20"/>
    <w:rsid w:val="00C84D7D"/>
    <w:rsid w:val="00C874CB"/>
    <w:rsid w:val="00CC04BB"/>
    <w:rsid w:val="00CC3044"/>
    <w:rsid w:val="00CD3F07"/>
    <w:rsid w:val="00CD7254"/>
    <w:rsid w:val="00CE64A6"/>
    <w:rsid w:val="00CE72A4"/>
    <w:rsid w:val="00CF20FC"/>
    <w:rsid w:val="00D25014"/>
    <w:rsid w:val="00D3621F"/>
    <w:rsid w:val="00D378E2"/>
    <w:rsid w:val="00D40BC3"/>
    <w:rsid w:val="00D47038"/>
    <w:rsid w:val="00D4739D"/>
    <w:rsid w:val="00D7642B"/>
    <w:rsid w:val="00D847BE"/>
    <w:rsid w:val="00DA3A92"/>
    <w:rsid w:val="00DB44F9"/>
    <w:rsid w:val="00DB6F4A"/>
    <w:rsid w:val="00DC03D6"/>
    <w:rsid w:val="00DD178B"/>
    <w:rsid w:val="00DD4F04"/>
    <w:rsid w:val="00DE536A"/>
    <w:rsid w:val="00DF674B"/>
    <w:rsid w:val="00E00BC4"/>
    <w:rsid w:val="00E424B9"/>
    <w:rsid w:val="00E429D6"/>
    <w:rsid w:val="00E50A43"/>
    <w:rsid w:val="00E650C9"/>
    <w:rsid w:val="00E70F60"/>
    <w:rsid w:val="00E71F3E"/>
    <w:rsid w:val="00E724FB"/>
    <w:rsid w:val="00E75455"/>
    <w:rsid w:val="00E90A52"/>
    <w:rsid w:val="00EB78FB"/>
    <w:rsid w:val="00ED3C71"/>
    <w:rsid w:val="00ED5A02"/>
    <w:rsid w:val="00EF28D2"/>
    <w:rsid w:val="00EF3290"/>
    <w:rsid w:val="00EF7ADB"/>
    <w:rsid w:val="00F06F94"/>
    <w:rsid w:val="00F21B36"/>
    <w:rsid w:val="00F4262A"/>
    <w:rsid w:val="00F52314"/>
    <w:rsid w:val="00F81DD4"/>
    <w:rsid w:val="00FA5ECE"/>
    <w:rsid w:val="00FA7413"/>
    <w:rsid w:val="00FB0E5A"/>
    <w:rsid w:val="00FC4221"/>
    <w:rsid w:val="00FD17F1"/>
    <w:rsid w:val="00FD60DB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A64D"/>
  <w15:docId w15:val="{C27BC852-E0A9-4E79-9A5D-964FAB5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66"/>
    <w:pPr>
      <w:keepNext/>
      <w:ind w:firstLine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uiPriority w:val="99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360366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ab">
    <w:name w:val="Содержимое таблицы"/>
    <w:basedOn w:val="a"/>
    <w:rsid w:val="00360366"/>
    <w:pPr>
      <w:widowControl w:val="0"/>
      <w:suppressLineNumbers/>
      <w:suppressAutoHyphens/>
      <w:ind w:firstLine="0"/>
      <w:jc w:val="left"/>
    </w:pPr>
    <w:rPr>
      <w:sz w:val="20"/>
      <w:szCs w:val="20"/>
      <w:lang w:val="ru-RU" w:eastAsia="en-US"/>
    </w:rPr>
  </w:style>
  <w:style w:type="character" w:customStyle="1" w:styleId="rvts23">
    <w:name w:val="rvts23"/>
    <w:rsid w:val="00360366"/>
    <w:rPr>
      <w:rFonts w:cs="Times New Roman"/>
    </w:rPr>
  </w:style>
  <w:style w:type="paragraph" w:styleId="ac">
    <w:name w:val="List Paragraph"/>
    <w:basedOn w:val="a"/>
    <w:uiPriority w:val="34"/>
    <w:qFormat/>
    <w:rsid w:val="00D847BE"/>
    <w:pPr>
      <w:ind w:left="720" w:firstLine="567"/>
      <w:contextualSpacing/>
    </w:pPr>
  </w:style>
  <w:style w:type="character" w:customStyle="1" w:styleId="apple-converted-space">
    <w:name w:val="apple-converted-space"/>
    <w:basedOn w:val="a0"/>
    <w:rsid w:val="00EF3290"/>
  </w:style>
  <w:style w:type="character" w:customStyle="1" w:styleId="rvts9">
    <w:name w:val="rvts9"/>
    <w:basedOn w:val="a0"/>
    <w:rsid w:val="00EF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5923-D80D-4FEE-8155-653CAB0F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6310</Words>
  <Characters>3597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User</cp:lastModifiedBy>
  <cp:revision>8</cp:revision>
  <cp:lastPrinted>2018-09-25T06:24:00Z</cp:lastPrinted>
  <dcterms:created xsi:type="dcterms:W3CDTF">2019-05-22T07:43:00Z</dcterms:created>
  <dcterms:modified xsi:type="dcterms:W3CDTF">2019-05-24T06:18:00Z</dcterms:modified>
</cp:coreProperties>
</file>