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3C311D" w:rsidRDefault="001E179B" w:rsidP="007729F9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7729F9">
        <w:rPr>
          <w:sz w:val="26"/>
          <w:szCs w:val="26"/>
        </w:rPr>
        <w:t xml:space="preserve">           </w:t>
      </w:r>
      <w:r w:rsidR="007729F9">
        <w:rPr>
          <w:sz w:val="26"/>
          <w:szCs w:val="26"/>
        </w:rPr>
        <w:t>24.05.2019 № 72/19</w:t>
      </w:r>
    </w:p>
    <w:p w:rsidR="007729F9" w:rsidRDefault="007729F9" w:rsidP="007729F9">
      <w:pPr>
        <w:rPr>
          <w:rStyle w:val="rvts15"/>
          <w:b/>
          <w:sz w:val="26"/>
          <w:szCs w:val="26"/>
        </w:rPr>
      </w:pPr>
    </w:p>
    <w:p w:rsidR="00C0225B" w:rsidRPr="00C0225B" w:rsidRDefault="001E179B" w:rsidP="003B00AA">
      <w:pPr>
        <w:tabs>
          <w:tab w:val="left" w:pos="1342"/>
        </w:tabs>
        <w:jc w:val="center"/>
        <w:rPr>
          <w:b/>
          <w:szCs w:val="28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8F0F98">
        <w:rPr>
          <w:rStyle w:val="rvts15"/>
          <w:b/>
          <w:szCs w:val="28"/>
        </w:rPr>
        <w:t xml:space="preserve">проведення конкурсу на </w:t>
      </w:r>
      <w:r w:rsidR="00644E64" w:rsidRPr="008F0F98">
        <w:rPr>
          <w:b/>
          <w:szCs w:val="28"/>
        </w:rPr>
        <w:t>зайняття вакантної поса</w:t>
      </w:r>
      <w:r w:rsidR="003B00AA" w:rsidRPr="008F0F98">
        <w:rPr>
          <w:b/>
          <w:szCs w:val="28"/>
        </w:rPr>
        <w:t>ди державної служби</w:t>
      </w:r>
      <w:r w:rsidR="003B00AA" w:rsidRPr="008F0F98">
        <w:rPr>
          <w:b/>
          <w:szCs w:val="28"/>
        </w:rPr>
        <w:br/>
        <w:t>категорії «Б</w:t>
      </w:r>
      <w:r w:rsidR="00644E64" w:rsidRPr="008F0F98">
        <w:rPr>
          <w:b/>
          <w:szCs w:val="28"/>
        </w:rPr>
        <w:t xml:space="preserve">» </w:t>
      </w:r>
      <w:r w:rsidR="00644E64" w:rsidRPr="00C0225B">
        <w:rPr>
          <w:b/>
          <w:szCs w:val="28"/>
        </w:rPr>
        <w:t>-</w:t>
      </w:r>
      <w:r w:rsidR="00C0225B" w:rsidRPr="00C0225B">
        <w:rPr>
          <w:b/>
          <w:szCs w:val="28"/>
        </w:rPr>
        <w:t xml:space="preserve"> керівник</w:t>
      </w:r>
      <w:r w:rsidR="00937C22">
        <w:rPr>
          <w:b/>
          <w:szCs w:val="28"/>
        </w:rPr>
        <w:t>а</w:t>
      </w:r>
      <w:r w:rsidR="00C0225B" w:rsidRPr="00C0225B">
        <w:rPr>
          <w:b/>
          <w:szCs w:val="28"/>
        </w:rPr>
        <w:t xml:space="preserve"> відділу нормативного забезпечення реалізації антикорупційної політики </w:t>
      </w:r>
    </w:p>
    <w:p w:rsidR="001E179B" w:rsidRPr="008F0F98" w:rsidRDefault="00C0225B" w:rsidP="003B00AA">
      <w:pPr>
        <w:tabs>
          <w:tab w:val="left" w:pos="1342"/>
        </w:tabs>
        <w:jc w:val="center"/>
        <w:rPr>
          <w:b/>
          <w:szCs w:val="28"/>
        </w:rPr>
      </w:pPr>
      <w:r w:rsidRPr="00C0225B">
        <w:rPr>
          <w:b/>
          <w:szCs w:val="28"/>
        </w:rPr>
        <w:t>Департаменту координації антикорупційної політики</w:t>
      </w:r>
      <w:r>
        <w:rPr>
          <w:szCs w:val="28"/>
        </w:rPr>
        <w:t xml:space="preserve"> </w:t>
      </w:r>
      <w:r w:rsidR="00ED5A02" w:rsidRPr="008F0F98">
        <w:rPr>
          <w:b/>
          <w:szCs w:val="28"/>
        </w:rPr>
        <w:t xml:space="preserve">– 1 </w:t>
      </w:r>
      <w:r w:rsidR="00E724FB" w:rsidRPr="008F0F98">
        <w:rPr>
          <w:b/>
          <w:szCs w:val="28"/>
        </w:rPr>
        <w:t>штатна по</w:t>
      </w:r>
      <w:r w:rsidR="00ED5A02" w:rsidRPr="008F0F98">
        <w:rPr>
          <w:b/>
          <w:szCs w:val="28"/>
        </w:rPr>
        <w:t>сада</w:t>
      </w:r>
    </w:p>
    <w:p w:rsidR="003B00AA" w:rsidRPr="008F0F98" w:rsidRDefault="003B00AA" w:rsidP="003B00AA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017"/>
        <w:gridCol w:w="10299"/>
      </w:tblGrid>
      <w:tr w:rsidR="001E179B" w:rsidTr="00234FE9">
        <w:tc>
          <w:tcPr>
            <w:tcW w:w="147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C0225B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0225B" w:rsidRDefault="00C0225B" w:rsidP="00C0225B">
            <w:pPr>
              <w:pStyle w:val="rvps14"/>
            </w:pPr>
            <w:r>
              <w:t>Посадові обов’язки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0225B" w:rsidRP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>
              <w:rPr>
                <w:sz w:val="24"/>
              </w:rPr>
              <w:t>з</w:t>
            </w:r>
            <w:r w:rsidRPr="00C0225B">
              <w:rPr>
                <w:sz w:val="24"/>
              </w:rPr>
              <w:t>дійсню</w:t>
            </w:r>
            <w:r>
              <w:rPr>
                <w:sz w:val="24"/>
              </w:rPr>
              <w:t>є</w:t>
            </w:r>
            <w:r w:rsidRPr="00C0225B">
              <w:rPr>
                <w:sz w:val="24"/>
              </w:rPr>
              <w:t xml:space="preserve"> керівництво діяльністю Відділу</w:t>
            </w:r>
            <w:r>
              <w:rPr>
                <w:sz w:val="24"/>
              </w:rPr>
              <w:t xml:space="preserve"> і забезпечує</w:t>
            </w:r>
            <w:r w:rsidRPr="00C0225B">
              <w:rPr>
                <w:sz w:val="24"/>
              </w:rPr>
              <w:t xml:space="preserve"> виконання завдань, покладених на нього;</w:t>
            </w:r>
          </w:p>
          <w:p w:rsid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розподіляє</w:t>
            </w:r>
            <w:r w:rsidRPr="00067152">
              <w:rPr>
                <w:sz w:val="24"/>
              </w:rPr>
              <w:t xml:space="preserve"> обов’я</w:t>
            </w:r>
            <w:r>
              <w:rPr>
                <w:sz w:val="24"/>
              </w:rPr>
              <w:t>зки між працівниками, забезпечує</w:t>
            </w:r>
            <w:r w:rsidRPr="00067152">
              <w:rPr>
                <w:sz w:val="24"/>
              </w:rPr>
              <w:t xml:space="preserve"> координацію їх діяльності і додержання ними трудової дисципліни;</w:t>
            </w:r>
          </w:p>
          <w:p w:rsid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вносить</w:t>
            </w:r>
            <w:r w:rsidRPr="00067152">
              <w:rPr>
                <w:sz w:val="24"/>
              </w:rPr>
              <w:t xml:space="preserve"> керівнику Департаменту пропозиції щодо призначення на посади та звільнення з посад працівників Відділу, а також заохочення або застосування до них у разі потреби заходів дисциплінарного впливу;</w:t>
            </w:r>
          </w:p>
          <w:p w:rsid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бере </w:t>
            </w:r>
            <w:r w:rsidRPr="00067152">
              <w:rPr>
                <w:sz w:val="24"/>
              </w:rPr>
              <w:t>участь у вирішенні питань підвищення кваліфікації та навчання працівників Відділу;</w:t>
            </w:r>
          </w:p>
          <w:p w:rsid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 w:rsidRPr="00067152">
              <w:rPr>
                <w:sz w:val="24"/>
              </w:rPr>
              <w:t xml:space="preserve"> розробку посадових інструкцій працівників;</w:t>
            </w:r>
          </w:p>
          <w:p w:rsidR="00C0225B" w:rsidRPr="00067152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організовує</w:t>
            </w:r>
            <w:r w:rsidRPr="00067152">
              <w:rPr>
                <w:sz w:val="24"/>
              </w:rPr>
              <w:t xml:space="preserve"> розроблення проектів нормативно-правових актів;</w:t>
            </w:r>
          </w:p>
          <w:p w:rsid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забезпечує </w:t>
            </w:r>
            <w:r w:rsidRPr="00067152">
              <w:rPr>
                <w:sz w:val="24"/>
              </w:rPr>
              <w:t>виконання рішень Національного агентства, доручень Голови Національного агентства, відповідного члена Національного агентства, керівництва апарату та керівництва Департаменту;</w:t>
            </w:r>
          </w:p>
          <w:p w:rsid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 w:rsidRPr="00067152">
              <w:rPr>
                <w:sz w:val="24"/>
              </w:rPr>
              <w:t>д</w:t>
            </w:r>
            <w:r>
              <w:rPr>
                <w:sz w:val="24"/>
              </w:rPr>
              <w:t>оповідає</w:t>
            </w:r>
            <w:r w:rsidRPr="00067152">
              <w:rPr>
                <w:sz w:val="24"/>
              </w:rPr>
              <w:t xml:space="preserve"> керівнику Департаменту з питань діяльності Відділу;</w:t>
            </w:r>
          </w:p>
          <w:p w:rsid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організовує </w:t>
            </w:r>
            <w:r w:rsidRPr="00067152">
              <w:rPr>
                <w:sz w:val="24"/>
              </w:rPr>
              <w:t>ведення діловодства у Відділі;</w:t>
            </w:r>
          </w:p>
          <w:p w:rsid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 w:rsidRPr="00067152">
              <w:rPr>
                <w:sz w:val="24"/>
              </w:rPr>
              <w:t xml:space="preserve"> в межах компетенції організацію роботи Відділу з питань збереження інформації, що становить державну таємницю під час здійснення міжнародної співпраці та обміну інформацією з компетентними органами іноземних держав;</w:t>
            </w:r>
          </w:p>
          <w:p w:rsidR="00C0225B" w:rsidRDefault="00C0225B" w:rsidP="00C0225B">
            <w:pPr>
              <w:pStyle w:val="ac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здійснює</w:t>
            </w:r>
            <w:r w:rsidRPr="00067152">
              <w:rPr>
                <w:sz w:val="24"/>
              </w:rPr>
              <w:t xml:space="preserve"> відповідно до рішень Національного агентства, доручень Голови Національного агентства, відповідного члена Національного агентства, керівництва апарату та керівництва Департаменту інші повноваження, що </w:t>
            </w:r>
            <w:r>
              <w:rPr>
                <w:sz w:val="24"/>
              </w:rPr>
              <w:t>належать до компетенції Відділу;</w:t>
            </w:r>
          </w:p>
          <w:p w:rsidR="00C0225B" w:rsidRPr="00912707" w:rsidRDefault="00C0225B" w:rsidP="00C0225B">
            <w:pPr>
              <w:pStyle w:val="ac"/>
              <w:numPr>
                <w:ilvl w:val="0"/>
                <w:numId w:val="17"/>
              </w:numPr>
              <w:rPr>
                <w:i/>
                <w:sz w:val="24"/>
              </w:rPr>
            </w:pPr>
            <w:r w:rsidRPr="00BE318F">
              <w:rPr>
                <w:sz w:val="24"/>
              </w:rPr>
              <w:t>нормативне забезпечення реалізації антикорупційної політики; прогнозування правової проблематики, аналіз та підготовка пропозицій щодо вдосконалення законодавства з питань запобігання і протидії корупції; вміння організовувати і контролювати роботу</w:t>
            </w:r>
            <w:r w:rsidRPr="00912707">
              <w:rPr>
                <w:i/>
                <w:sz w:val="24"/>
              </w:rPr>
              <w:t xml:space="preserve"> </w:t>
            </w:r>
            <w:r w:rsidRPr="00BE318F">
              <w:rPr>
                <w:sz w:val="24"/>
              </w:rPr>
              <w:t>підлеглих</w:t>
            </w:r>
            <w:r w:rsidRPr="00912707">
              <w:rPr>
                <w:i/>
                <w:sz w:val="24"/>
              </w:rPr>
              <w:t xml:space="preserve"> </w:t>
            </w:r>
            <w:r w:rsidRPr="00BE318F">
              <w:rPr>
                <w:sz w:val="24"/>
              </w:rPr>
              <w:lastRenderedPageBreak/>
              <w:t>працівників; участь у підготовці проектів висновків Національного агентства щодо проектів нормативно-правових актів з питань реалізації антикорупційної політики; участь у розробленні проектів нормативно-правових актів з питань реалізації антикорупційної політики; проведення антикорупційної експертизи проектів актів та моніторинг законодавства на предмет виявлення корупціогенних чинників</w:t>
            </w:r>
          </w:p>
        </w:tc>
      </w:tr>
      <w:tr w:rsidR="00C0225B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0225B" w:rsidRDefault="00C0225B" w:rsidP="00C0225B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0225B" w:rsidRDefault="00C0225B" w:rsidP="00C0225B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посадовий оклад – 12 512</w:t>
            </w:r>
            <w:r w:rsidRPr="00C147EF">
              <w:rPr>
                <w:b/>
              </w:rPr>
              <w:t>,</w:t>
            </w:r>
            <w:r>
              <w:rPr>
                <w:b/>
              </w:rPr>
              <w:t>5</w:t>
            </w:r>
            <w:r w:rsidRPr="00C147EF">
              <w:rPr>
                <w:b/>
              </w:rPr>
              <w:t>0 грн;</w:t>
            </w:r>
          </w:p>
          <w:p w:rsidR="00C0225B" w:rsidRPr="003D5944" w:rsidRDefault="00C0225B" w:rsidP="00C0225B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C0225B" w:rsidRDefault="00C0225B" w:rsidP="00C0225B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C0225B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0225B" w:rsidRDefault="00C0225B" w:rsidP="00C0225B">
            <w:pPr>
              <w:pStyle w:val="rvps14"/>
            </w:pPr>
            <w:r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0225B" w:rsidRPr="00E979A3" w:rsidRDefault="00C0225B" w:rsidP="00C022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C0225B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0225B" w:rsidRPr="00503299" w:rsidRDefault="00C0225B" w:rsidP="00C0225B">
            <w:pPr>
              <w:pStyle w:val="rvps14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0225B" w:rsidRPr="0092023D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C0225B" w:rsidRPr="0092023D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0225B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F6986">
                <w:t>частиною третьою</w:t>
              </w:r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0225B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4. </w:t>
            </w:r>
            <w:r w:rsidRPr="005F6986">
              <w:rPr>
                <w:spacing w:val="-6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C0225B" w:rsidRPr="0092023D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Pr="0092023D">
              <w:rPr>
                <w:spacing w:val="-6"/>
                <w:lang w:val="uk-UA"/>
              </w:rPr>
              <w:t>. Копія (копії) документа (документів) про освіту.</w:t>
            </w:r>
          </w:p>
          <w:p w:rsidR="00C0225B" w:rsidRPr="0092023D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C0225B" w:rsidRPr="0092023D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7</w:t>
            </w:r>
            <w:r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C0225B" w:rsidRPr="0092023D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 xml:space="preserve"> рік (надається у вигляді роздрукованого примірника заповненої декларації на офіційному веб-сайті НАЗК).</w:t>
            </w:r>
          </w:p>
          <w:p w:rsidR="00C0225B" w:rsidRPr="00AF2FAC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 w:rsidRPr="006C6C8E">
              <w:rPr>
                <w:b/>
                <w:spacing w:val="-6"/>
                <w:lang w:val="uk-UA"/>
              </w:rPr>
              <w:t xml:space="preserve">16 год. 45 хв. 14 червня </w:t>
            </w:r>
            <w:r>
              <w:rPr>
                <w:b/>
                <w:spacing w:val="-6"/>
                <w:lang w:val="uk-UA"/>
              </w:rPr>
              <w:t>2019</w:t>
            </w:r>
            <w:r w:rsidRPr="00AF2FAC">
              <w:rPr>
                <w:b/>
                <w:spacing w:val="-6"/>
                <w:lang w:val="uk-UA"/>
              </w:rPr>
              <w:t xml:space="preserve"> року.</w:t>
            </w:r>
          </w:p>
          <w:p w:rsidR="00C0225B" w:rsidRPr="0092023D" w:rsidRDefault="00C0225B" w:rsidP="00C0225B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>за адресою</w:t>
            </w:r>
            <w:r w:rsidRPr="005F6986">
              <w:rPr>
                <w:spacing w:val="-6"/>
                <w:lang w:val="uk-UA"/>
              </w:rPr>
              <w:t xml:space="preserve">: </w:t>
            </w:r>
            <w:r w:rsidRPr="00AF2FAC">
              <w:rPr>
                <w:b/>
                <w:spacing w:val="-6"/>
                <w:lang w:val="uk-UA"/>
              </w:rPr>
              <w:t>м. Київ, Дружби народів, 28 (скринька для вхідної кореспонденції при вході у приміщення).</w:t>
            </w:r>
          </w:p>
        </w:tc>
      </w:tr>
      <w:tr w:rsidR="00C0225B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0225B" w:rsidRPr="00503299" w:rsidRDefault="00C0225B" w:rsidP="00C0225B">
            <w:pPr>
              <w:pStyle w:val="rvps14"/>
            </w:pPr>
            <w:r>
              <w:t>М</w:t>
            </w:r>
            <w:r w:rsidRPr="00503299">
              <w:t>ісце</w:t>
            </w:r>
            <w:r>
              <w:t>, час та дата початку</w:t>
            </w:r>
            <w:r w:rsidRPr="00503299">
              <w:t xml:space="preserve"> проведення конкурсу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225B" w:rsidRPr="0092023D" w:rsidRDefault="00C0225B" w:rsidP="00C0225B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 w:rsidRPr="006C6C8E">
              <w:rPr>
                <w:spacing w:val="-6"/>
                <w:lang w:val="uk-UA" w:eastAsia="en-US"/>
              </w:rPr>
              <w:t xml:space="preserve">21 червня </w:t>
            </w:r>
            <w:r>
              <w:rPr>
                <w:spacing w:val="-6"/>
                <w:lang w:val="uk-UA" w:eastAsia="en-US"/>
              </w:rPr>
              <w:t>2019</w:t>
            </w:r>
            <w:r w:rsidRPr="0092023D">
              <w:rPr>
                <w:spacing w:val="-6"/>
                <w:lang w:val="uk-UA" w:eastAsia="en-US"/>
              </w:rPr>
              <w:t xml:space="preserve"> року м. Київ, бульвар Дружби народів, 28 - електронне тестування (про час буде поінформовано додатково).</w:t>
            </w:r>
          </w:p>
        </w:tc>
      </w:tr>
      <w:tr w:rsidR="00C0225B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C0225B" w:rsidRPr="00503299" w:rsidRDefault="00C0225B" w:rsidP="00C0225B">
            <w:pPr>
              <w:pStyle w:val="rvps14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0225B" w:rsidRPr="002279BE" w:rsidRDefault="00C0225B" w:rsidP="00C0225B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</w:t>
            </w:r>
            <w:r w:rsidR="00BE318F">
              <w:rPr>
                <w:lang w:val="uk-UA"/>
              </w:rPr>
              <w:t>.</w:t>
            </w:r>
            <w:r>
              <w:rPr>
                <w:lang w:val="uk-UA"/>
              </w:rPr>
              <w:t xml:space="preserve">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C0225B" w:rsidRPr="00503299" w:rsidTr="00234FE9">
        <w:tc>
          <w:tcPr>
            <w:tcW w:w="147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0225B" w:rsidRPr="00EF28D2" w:rsidRDefault="00C0225B" w:rsidP="00C0225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C0225B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0225B" w:rsidRPr="00503299" w:rsidRDefault="00C0225B" w:rsidP="00C0225B">
            <w:pPr>
              <w:pStyle w:val="rvps12"/>
            </w:pPr>
            <w:r>
              <w:t xml:space="preserve">  1.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0225B" w:rsidRPr="00503299" w:rsidRDefault="00C0225B" w:rsidP="00C0225B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0225B" w:rsidRPr="00503299" w:rsidRDefault="00C0225B" w:rsidP="00C0225B">
            <w:pPr>
              <w:pStyle w:val="rvps14"/>
            </w:pPr>
            <w:r>
              <w:t>Вища освіта за освітнім ступенем не нижче магістра</w:t>
            </w:r>
            <w:r w:rsidR="00BE318F">
              <w:t xml:space="preserve"> в галузі знань «право»</w:t>
            </w:r>
          </w:p>
        </w:tc>
      </w:tr>
      <w:tr w:rsidR="00C0225B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0225B" w:rsidRPr="00503299" w:rsidRDefault="00C0225B" w:rsidP="00C0225B">
            <w:pPr>
              <w:pStyle w:val="rvps12"/>
            </w:pPr>
            <w:r>
              <w:t xml:space="preserve">  2.   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0225B" w:rsidRPr="00503299" w:rsidRDefault="00C0225B" w:rsidP="00C0225B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0225B" w:rsidRPr="00503299" w:rsidRDefault="00C0225B" w:rsidP="00C0225B">
            <w:pPr>
              <w:pStyle w:val="rvps14"/>
            </w:pPr>
            <w:r>
              <w:t>Досвід роботи 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0225B" w:rsidRPr="00503299" w:rsidTr="00234FE9">
        <w:trPr>
          <w:trHeight w:val="392"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0225B" w:rsidRPr="00503299" w:rsidRDefault="00C0225B" w:rsidP="00C0225B">
            <w:pPr>
              <w:pStyle w:val="rvps12"/>
            </w:pPr>
            <w:r>
              <w:t xml:space="preserve">  3.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0225B" w:rsidRPr="00503299" w:rsidRDefault="00C0225B" w:rsidP="00C0225B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0225B" w:rsidRDefault="00C0225B" w:rsidP="00C0225B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C0225B" w:rsidRPr="00503299" w:rsidRDefault="00C0225B" w:rsidP="00C0225B">
            <w:pPr>
              <w:pStyle w:val="rvps14"/>
            </w:pPr>
          </w:p>
        </w:tc>
      </w:tr>
    </w:tbl>
    <w:p w:rsidR="006538B1" w:rsidRDefault="006538B1" w:rsidP="00E90A52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4"/>
        <w:gridCol w:w="4177"/>
        <w:gridCol w:w="10122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416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6538B1" w:rsidRPr="006538B1" w:rsidTr="005E5973">
        <w:trPr>
          <w:tblCellSpacing w:w="22" w:type="dxa"/>
        </w:trPr>
        <w:tc>
          <w:tcPr>
            <w:tcW w:w="129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1.</w:t>
            </w:r>
          </w:p>
        </w:tc>
        <w:tc>
          <w:tcPr>
            <w:tcW w:w="1395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416" w:type="pct"/>
          </w:tcPr>
          <w:p w:rsidR="006538B1" w:rsidRPr="00E429D6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  <w:r w:rsidR="00E429D6">
              <w:rPr>
                <w:color w:val="000000"/>
                <w:sz w:val="24"/>
              </w:rPr>
              <w:t>; робота з програмним забезпеченням системи «ЛІГА ЗАКОН»</w:t>
            </w:r>
          </w:p>
          <w:p w:rsidR="005F6986" w:rsidRPr="006538B1" w:rsidRDefault="005F6986" w:rsidP="00E429D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2.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416" w:type="pct"/>
          </w:tcPr>
          <w:p w:rsidR="005F6986" w:rsidRPr="00E12E4B" w:rsidRDefault="00E429D6" w:rsidP="00E429D6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9D5DCD">
              <w:rPr>
                <w:sz w:val="24"/>
              </w:rPr>
              <w:t>міння працювати в команді</w:t>
            </w:r>
            <w:r>
              <w:rPr>
                <w:sz w:val="24"/>
              </w:rPr>
              <w:t>, уміння організовувати роботу,</w:t>
            </w:r>
            <w:r w:rsidRPr="009D5DCD">
              <w:rPr>
                <w:sz w:val="24"/>
              </w:rPr>
              <w:t xml:space="preserve"> аналітичні здібності, лідерські якості, вміння розподіляти роботу, виваженість, здатність концентруватись на деталях, адаптивність, вміння вести перемовини, організаторські здібності, стресостійкість, вимогливість, вміння визначати пріоритети, вміння аргументовано доводити власну точку зор</w:t>
            </w:r>
            <w:r>
              <w:rPr>
                <w:sz w:val="24"/>
              </w:rPr>
              <w:t>у, навички розв’язання проблем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3.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416" w:type="pct"/>
          </w:tcPr>
          <w:p w:rsidR="005A6F5F" w:rsidRDefault="005A6F5F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 xml:space="preserve">ініціативність, порядність, дисциплінованість, готовність допомогти, контроль емоцій, </w:t>
            </w:r>
            <w:r>
              <w:rPr>
                <w:sz w:val="24"/>
                <w:lang w:eastAsia="uk-UA"/>
              </w:rPr>
              <w:t xml:space="preserve"> </w:t>
            </w:r>
            <w:r w:rsidRPr="00E12E4B">
              <w:rPr>
                <w:sz w:val="24"/>
                <w:lang w:eastAsia="uk-UA"/>
              </w:rPr>
              <w:t>комунікабельність, повага до інших, відповідальність</w:t>
            </w:r>
          </w:p>
          <w:p w:rsidR="008E33AD" w:rsidRPr="00E12E4B" w:rsidRDefault="008E33AD" w:rsidP="005A6F5F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5A6F5F" w:rsidRPr="006538B1" w:rsidRDefault="005A6F5F" w:rsidP="005A6F5F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5A6F5F" w:rsidRPr="006538B1" w:rsidTr="005E5973">
        <w:trPr>
          <w:tblCellSpacing w:w="22" w:type="dxa"/>
        </w:trPr>
        <w:tc>
          <w:tcPr>
            <w:tcW w:w="1539" w:type="pct"/>
            <w:gridSpan w:val="2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416" w:type="pct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5A6F5F" w:rsidRPr="006538B1" w:rsidTr="005E5973">
        <w:trPr>
          <w:trHeight w:val="870"/>
          <w:tblCellSpacing w:w="22" w:type="dxa"/>
        </w:trPr>
        <w:tc>
          <w:tcPr>
            <w:tcW w:w="129" w:type="pct"/>
          </w:tcPr>
          <w:p w:rsidR="005A6F5F" w:rsidRPr="006538B1" w:rsidRDefault="005A6F5F" w:rsidP="005A6F5F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395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416" w:type="pct"/>
          </w:tcPr>
          <w:p w:rsidR="005A6F5F" w:rsidRPr="006538B1" w:rsidRDefault="007729F9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8" w:tgtFrame="_top" w:history="1">
              <w:r w:rsidR="005A6F5F" w:rsidRPr="006538B1">
                <w:rPr>
                  <w:color w:val="000000"/>
                  <w:sz w:val="24"/>
                </w:rPr>
                <w:t>Конституція України</w:t>
              </w:r>
            </w:hyperlink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7729F9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9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державну службу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</w:t>
            </w:r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7729F9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szCs w:val="22"/>
                <w:lang w:eastAsia="en-US"/>
              </w:rPr>
            </w:pPr>
            <w:hyperlink r:id="rId10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запобігання корупції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EF3290" w:rsidRPr="006538B1" w:rsidTr="005E5973">
        <w:trPr>
          <w:trHeight w:val="334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 xml:space="preserve">Знання спеціального законодавства, що пов'язане із завданнями та змістом </w:t>
            </w:r>
            <w:r w:rsidRPr="006538B1">
              <w:rPr>
                <w:color w:val="000000"/>
                <w:sz w:val="24"/>
              </w:rP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982EC1" w:rsidRDefault="00BE318F" w:rsidP="00BE318F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lastRenderedPageBreak/>
              <w:t>Закон України «Про Регламент Верховної Ради України»;</w:t>
            </w:r>
          </w:p>
          <w:p w:rsidR="00BE318F" w:rsidRPr="00982EC1" w:rsidRDefault="00BE318F" w:rsidP="00BE318F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lastRenderedPageBreak/>
              <w:t>Регламент Кабінету Міністрів України, затверджений постановою Кабінету Міністрів України від 18.07.2017 № 950;</w:t>
            </w:r>
          </w:p>
          <w:p w:rsidR="00BE318F" w:rsidRPr="00982EC1" w:rsidRDefault="00BE318F" w:rsidP="00BE318F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>Порядок проведення антикорупційної експертизи проектів нормативно-правових актів Національним агентством з питань запобігання корупції, затверджений рішенням Національного агентства від 28.07.2016 №1, зареєстрований у Міністерстві юстиції України 25.08.2016 за № 1184/29314;</w:t>
            </w:r>
          </w:p>
          <w:p w:rsidR="00BE318F" w:rsidRPr="00982EC1" w:rsidRDefault="00BE318F" w:rsidP="00BE318F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>Конвенція ООН проти корупції;</w:t>
            </w:r>
          </w:p>
          <w:p w:rsidR="00BE318F" w:rsidRPr="00982EC1" w:rsidRDefault="00BE318F" w:rsidP="00BE318F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 xml:space="preserve">Кримінальна конвенція про боротьбу з корупцією </w:t>
            </w:r>
          </w:p>
          <w:p w:rsidR="00BE318F" w:rsidRPr="00982EC1" w:rsidRDefault="00BE318F" w:rsidP="00BE318F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>Цивільна конвенція про боротьбу з корупцією;</w:t>
            </w:r>
          </w:p>
          <w:p w:rsidR="00BE318F" w:rsidRDefault="00BE318F" w:rsidP="00BE318F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82EC1">
              <w:rPr>
                <w:sz w:val="24"/>
              </w:rPr>
              <w:t xml:space="preserve">Конвенція ООН проти транснаціональної </w:t>
            </w:r>
            <w:r>
              <w:rPr>
                <w:sz w:val="24"/>
              </w:rPr>
              <w:t>організованої злочинності;</w:t>
            </w:r>
          </w:p>
          <w:p w:rsidR="00912707" w:rsidRPr="00912707" w:rsidRDefault="00912707" w:rsidP="00BE318F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12707">
              <w:rPr>
                <w:sz w:val="24"/>
              </w:rPr>
              <w:t>Регламент Національного агентства з питань запобігання корупції;</w:t>
            </w:r>
          </w:p>
          <w:p w:rsidR="00D25014" w:rsidRPr="00912707" w:rsidRDefault="00912707" w:rsidP="00BE318F">
            <w:pPr>
              <w:numPr>
                <w:ilvl w:val="0"/>
                <w:numId w:val="9"/>
              </w:numPr>
              <w:spacing w:after="80"/>
              <w:ind w:left="511" w:hanging="425"/>
              <w:contextualSpacing/>
              <w:jc w:val="left"/>
              <w:rPr>
                <w:sz w:val="24"/>
              </w:rPr>
            </w:pPr>
            <w:r w:rsidRPr="00912707">
              <w:rPr>
                <w:sz w:val="24"/>
              </w:rPr>
              <w:t>Положення про апарат Національного агентства з питань запобігання корупції</w:t>
            </w:r>
            <w:r>
              <w:rPr>
                <w:sz w:val="24"/>
              </w:rPr>
              <w:t>.</w:t>
            </w:r>
          </w:p>
        </w:tc>
      </w:tr>
      <w:tr w:rsidR="00EF3290" w:rsidRPr="006538B1" w:rsidTr="005E5973">
        <w:trPr>
          <w:trHeight w:val="465"/>
          <w:tblCellSpacing w:w="22" w:type="dxa"/>
        </w:trPr>
        <w:tc>
          <w:tcPr>
            <w:tcW w:w="129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3.</w:t>
            </w:r>
          </w:p>
        </w:tc>
        <w:tc>
          <w:tcPr>
            <w:tcW w:w="1395" w:type="pct"/>
          </w:tcPr>
          <w:p w:rsidR="00EF3290" w:rsidRPr="006538B1" w:rsidRDefault="00EF3290" w:rsidP="00EF3290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416" w:type="pct"/>
          </w:tcPr>
          <w:p w:rsidR="009D2263" w:rsidRDefault="009D2263" w:rsidP="009D2263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знання практики</w:t>
            </w:r>
            <w:r w:rsidRPr="00564AE8">
              <w:rPr>
                <w:rFonts w:eastAsiaTheme="minorEastAsia"/>
                <w:bCs/>
                <w:sz w:val="24"/>
              </w:rPr>
              <w:t xml:space="preserve"> застосування Закону України «Про запобігання корупції»;</w:t>
            </w:r>
          </w:p>
          <w:p w:rsidR="009D2263" w:rsidRDefault="009D2263" w:rsidP="009D2263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знання основних</w:t>
            </w:r>
            <w:r w:rsidR="00912707">
              <w:rPr>
                <w:rFonts w:eastAsiaTheme="minorEastAsia"/>
                <w:bCs/>
                <w:sz w:val="24"/>
              </w:rPr>
              <w:t xml:space="preserve"> перспективних напрямів</w:t>
            </w:r>
            <w:r w:rsidRPr="00D45D71">
              <w:rPr>
                <w:rFonts w:eastAsiaTheme="minorEastAsia"/>
                <w:bCs/>
                <w:sz w:val="24"/>
              </w:rPr>
              <w:t xml:space="preserve"> ро</w:t>
            </w:r>
            <w:r w:rsidR="00BE318F">
              <w:rPr>
                <w:rFonts w:eastAsiaTheme="minorEastAsia"/>
                <w:bCs/>
                <w:sz w:val="24"/>
              </w:rPr>
              <w:t>звитку антикорупційної політики;</w:t>
            </w:r>
          </w:p>
          <w:p w:rsidR="00BE318F" w:rsidRPr="00BE318F" w:rsidRDefault="00BE318F" w:rsidP="00BE318F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BE318F">
              <w:rPr>
                <w:rFonts w:eastAsiaTheme="minorEastAsia"/>
                <w:bCs/>
                <w:sz w:val="24"/>
              </w:rPr>
              <w:t>знання порядку підготовки та погодження проектів нормативно-правових актів;</w:t>
            </w:r>
          </w:p>
          <w:p w:rsidR="00BE318F" w:rsidRDefault="00BE318F" w:rsidP="00BE318F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BE318F">
              <w:rPr>
                <w:rFonts w:eastAsiaTheme="minorEastAsia"/>
                <w:bCs/>
                <w:sz w:val="24"/>
              </w:rPr>
              <w:t>знання алгоритму проведення антикорупційної експертизи проектів нормативно-правових актів Національним агентством.</w:t>
            </w:r>
          </w:p>
          <w:p w:rsidR="00631C35" w:rsidRPr="008C282F" w:rsidRDefault="00631C35" w:rsidP="00912707">
            <w:pPr>
              <w:spacing w:line="276" w:lineRule="auto"/>
              <w:ind w:left="360" w:firstLine="0"/>
              <w:jc w:val="left"/>
              <w:rPr>
                <w:sz w:val="24"/>
              </w:rPr>
            </w:pPr>
          </w:p>
        </w:tc>
      </w:tr>
    </w:tbl>
    <w:p w:rsidR="00E90A52" w:rsidRDefault="00E90A52" w:rsidP="00E90A52">
      <w:pPr>
        <w:ind w:firstLine="0"/>
        <w:jc w:val="left"/>
        <w:rPr>
          <w:bCs/>
          <w:szCs w:val="28"/>
        </w:rPr>
      </w:pPr>
    </w:p>
    <w:p w:rsidR="005B09FC" w:rsidRDefault="005B09FC" w:rsidP="00E90A52">
      <w:pPr>
        <w:ind w:firstLine="0"/>
        <w:jc w:val="left"/>
        <w:rPr>
          <w:bCs/>
          <w:szCs w:val="28"/>
        </w:rPr>
      </w:pPr>
      <w:bookmarkStart w:id="2" w:name="_GoBack"/>
      <w:bookmarkEnd w:id="2"/>
    </w:p>
    <w:sectPr w:rsidR="005B09FC" w:rsidSect="00184B03">
      <w:pgSz w:w="16838" w:h="11906" w:orient="landscape"/>
      <w:pgMar w:top="568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354B7"/>
    <w:multiLevelType w:val="hybridMultilevel"/>
    <w:tmpl w:val="1C9C002A"/>
    <w:lvl w:ilvl="0" w:tplc="A7B097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597A"/>
    <w:multiLevelType w:val="hybridMultilevel"/>
    <w:tmpl w:val="B2C8275A"/>
    <w:lvl w:ilvl="0" w:tplc="0CB27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B3BFE"/>
    <w:multiLevelType w:val="hybridMultilevel"/>
    <w:tmpl w:val="A140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772D"/>
    <w:rsid w:val="00025045"/>
    <w:rsid w:val="00036591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79C3"/>
    <w:rsid w:val="000E1A18"/>
    <w:rsid w:val="000F2F2E"/>
    <w:rsid w:val="000F3E45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84B03"/>
    <w:rsid w:val="00194E0B"/>
    <w:rsid w:val="00195B32"/>
    <w:rsid w:val="001B30D5"/>
    <w:rsid w:val="001C0FB0"/>
    <w:rsid w:val="001D344E"/>
    <w:rsid w:val="001D6F4F"/>
    <w:rsid w:val="001E179B"/>
    <w:rsid w:val="001E3AB3"/>
    <w:rsid w:val="001F7F1D"/>
    <w:rsid w:val="002279BE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E2098"/>
    <w:rsid w:val="00302A53"/>
    <w:rsid w:val="00303713"/>
    <w:rsid w:val="00317FC3"/>
    <w:rsid w:val="0034438F"/>
    <w:rsid w:val="00350575"/>
    <w:rsid w:val="003544DF"/>
    <w:rsid w:val="00360366"/>
    <w:rsid w:val="00377ABE"/>
    <w:rsid w:val="00383AA3"/>
    <w:rsid w:val="00383C18"/>
    <w:rsid w:val="0039051A"/>
    <w:rsid w:val="00397AEA"/>
    <w:rsid w:val="003B00AA"/>
    <w:rsid w:val="003C0D58"/>
    <w:rsid w:val="003C311D"/>
    <w:rsid w:val="003C3A83"/>
    <w:rsid w:val="003D03AF"/>
    <w:rsid w:val="003D5944"/>
    <w:rsid w:val="003E0C01"/>
    <w:rsid w:val="003E4033"/>
    <w:rsid w:val="003E4AA9"/>
    <w:rsid w:val="003E72D1"/>
    <w:rsid w:val="003F7899"/>
    <w:rsid w:val="00403488"/>
    <w:rsid w:val="00423328"/>
    <w:rsid w:val="00430DBD"/>
    <w:rsid w:val="00436371"/>
    <w:rsid w:val="00440E66"/>
    <w:rsid w:val="004434D8"/>
    <w:rsid w:val="00443B69"/>
    <w:rsid w:val="00470042"/>
    <w:rsid w:val="00473088"/>
    <w:rsid w:val="00477942"/>
    <w:rsid w:val="00483121"/>
    <w:rsid w:val="00485BBE"/>
    <w:rsid w:val="00487296"/>
    <w:rsid w:val="0049120B"/>
    <w:rsid w:val="004D1333"/>
    <w:rsid w:val="004D3F8A"/>
    <w:rsid w:val="004F6138"/>
    <w:rsid w:val="00514729"/>
    <w:rsid w:val="005156E2"/>
    <w:rsid w:val="005225DB"/>
    <w:rsid w:val="0052384C"/>
    <w:rsid w:val="00532A6C"/>
    <w:rsid w:val="00536933"/>
    <w:rsid w:val="005448FF"/>
    <w:rsid w:val="00591CA1"/>
    <w:rsid w:val="005A6F5F"/>
    <w:rsid w:val="005B09FC"/>
    <w:rsid w:val="005C3467"/>
    <w:rsid w:val="005D03F7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A45AA"/>
    <w:rsid w:val="006A781C"/>
    <w:rsid w:val="006B4BE8"/>
    <w:rsid w:val="006C2FC8"/>
    <w:rsid w:val="006C6C8E"/>
    <w:rsid w:val="006C6E97"/>
    <w:rsid w:val="006D46ED"/>
    <w:rsid w:val="006E209A"/>
    <w:rsid w:val="0070139E"/>
    <w:rsid w:val="007019D1"/>
    <w:rsid w:val="007041B6"/>
    <w:rsid w:val="007153DC"/>
    <w:rsid w:val="00723CB5"/>
    <w:rsid w:val="00760B90"/>
    <w:rsid w:val="007729F9"/>
    <w:rsid w:val="00772EF8"/>
    <w:rsid w:val="007777C6"/>
    <w:rsid w:val="007A3698"/>
    <w:rsid w:val="007B6D36"/>
    <w:rsid w:val="007D4C0F"/>
    <w:rsid w:val="007E48B8"/>
    <w:rsid w:val="007E78C3"/>
    <w:rsid w:val="007F1FEA"/>
    <w:rsid w:val="00802605"/>
    <w:rsid w:val="0080619E"/>
    <w:rsid w:val="00810B75"/>
    <w:rsid w:val="0082025A"/>
    <w:rsid w:val="00826827"/>
    <w:rsid w:val="0084463C"/>
    <w:rsid w:val="008731F5"/>
    <w:rsid w:val="00873C7F"/>
    <w:rsid w:val="00884AD3"/>
    <w:rsid w:val="00891A48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8F0F98"/>
    <w:rsid w:val="009048B9"/>
    <w:rsid w:val="00912707"/>
    <w:rsid w:val="0092023D"/>
    <w:rsid w:val="00920FE9"/>
    <w:rsid w:val="00922D30"/>
    <w:rsid w:val="00922D6E"/>
    <w:rsid w:val="00932537"/>
    <w:rsid w:val="0093411E"/>
    <w:rsid w:val="00937C22"/>
    <w:rsid w:val="00940EA2"/>
    <w:rsid w:val="00942996"/>
    <w:rsid w:val="00944C3B"/>
    <w:rsid w:val="00951C79"/>
    <w:rsid w:val="009522A6"/>
    <w:rsid w:val="00960557"/>
    <w:rsid w:val="00962879"/>
    <w:rsid w:val="00965D6E"/>
    <w:rsid w:val="009704C6"/>
    <w:rsid w:val="00973754"/>
    <w:rsid w:val="0097494A"/>
    <w:rsid w:val="009D2263"/>
    <w:rsid w:val="009E20A4"/>
    <w:rsid w:val="009F0B2A"/>
    <w:rsid w:val="00A057F5"/>
    <w:rsid w:val="00A1531C"/>
    <w:rsid w:val="00A236AE"/>
    <w:rsid w:val="00A300AA"/>
    <w:rsid w:val="00A34A2F"/>
    <w:rsid w:val="00A36A7C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7069"/>
    <w:rsid w:val="00B20856"/>
    <w:rsid w:val="00B2116B"/>
    <w:rsid w:val="00B3012F"/>
    <w:rsid w:val="00B431BB"/>
    <w:rsid w:val="00B547D8"/>
    <w:rsid w:val="00B560BB"/>
    <w:rsid w:val="00B56403"/>
    <w:rsid w:val="00B63ACA"/>
    <w:rsid w:val="00B96A6E"/>
    <w:rsid w:val="00BA4377"/>
    <w:rsid w:val="00BC4E6F"/>
    <w:rsid w:val="00BE0552"/>
    <w:rsid w:val="00BE318F"/>
    <w:rsid w:val="00BE4D5E"/>
    <w:rsid w:val="00BF4F22"/>
    <w:rsid w:val="00C0225B"/>
    <w:rsid w:val="00C147EF"/>
    <w:rsid w:val="00C22559"/>
    <w:rsid w:val="00C3299F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3F07"/>
    <w:rsid w:val="00CD7254"/>
    <w:rsid w:val="00CE64A6"/>
    <w:rsid w:val="00CE72A4"/>
    <w:rsid w:val="00CF20FC"/>
    <w:rsid w:val="00D25014"/>
    <w:rsid w:val="00D3621F"/>
    <w:rsid w:val="00D378E2"/>
    <w:rsid w:val="00D40BC3"/>
    <w:rsid w:val="00D47038"/>
    <w:rsid w:val="00D4739D"/>
    <w:rsid w:val="00D7642B"/>
    <w:rsid w:val="00D847BE"/>
    <w:rsid w:val="00DA3A92"/>
    <w:rsid w:val="00DB44F9"/>
    <w:rsid w:val="00DB6F4A"/>
    <w:rsid w:val="00DC03D6"/>
    <w:rsid w:val="00DD178B"/>
    <w:rsid w:val="00DD4F04"/>
    <w:rsid w:val="00DE536A"/>
    <w:rsid w:val="00DF674B"/>
    <w:rsid w:val="00E00BC4"/>
    <w:rsid w:val="00E424B9"/>
    <w:rsid w:val="00E429D6"/>
    <w:rsid w:val="00E50A43"/>
    <w:rsid w:val="00E650C9"/>
    <w:rsid w:val="00E70F60"/>
    <w:rsid w:val="00E71F3E"/>
    <w:rsid w:val="00E724FB"/>
    <w:rsid w:val="00E75455"/>
    <w:rsid w:val="00E90A52"/>
    <w:rsid w:val="00EB78FB"/>
    <w:rsid w:val="00ED3C71"/>
    <w:rsid w:val="00ED5A02"/>
    <w:rsid w:val="00EF28D2"/>
    <w:rsid w:val="00EF3290"/>
    <w:rsid w:val="00F06F94"/>
    <w:rsid w:val="00F21B36"/>
    <w:rsid w:val="00F4262A"/>
    <w:rsid w:val="00F52314"/>
    <w:rsid w:val="00F81DD4"/>
    <w:rsid w:val="00FA5ECE"/>
    <w:rsid w:val="00FA7413"/>
    <w:rsid w:val="00FB0E5A"/>
    <w:rsid w:val="00FC4221"/>
    <w:rsid w:val="00FD17F1"/>
    <w:rsid w:val="00FD60DB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20D0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99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AAE5-AB69-4DDF-8D57-C77CDADB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4903</Words>
  <Characters>2796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User</cp:lastModifiedBy>
  <cp:revision>6</cp:revision>
  <cp:lastPrinted>2019-05-22T09:11:00Z</cp:lastPrinted>
  <dcterms:created xsi:type="dcterms:W3CDTF">2019-05-22T09:12:00Z</dcterms:created>
  <dcterms:modified xsi:type="dcterms:W3CDTF">2019-05-24T06:18:00Z</dcterms:modified>
</cp:coreProperties>
</file>