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27" w:rsidRDefault="008F0D27" w:rsidP="008F0D27">
      <w:pPr>
        <w:pageBreakBefore/>
        <w:spacing w:before="280"/>
        <w:jc w:val="center"/>
        <w:rPr>
          <w:b/>
          <w:sz w:val="8"/>
          <w:szCs w:val="20"/>
        </w:rPr>
      </w:pPr>
      <w:r>
        <w:rPr>
          <w:b/>
          <w:sz w:val="28"/>
          <w:szCs w:val="28"/>
          <w:lang w:val="ru-RU"/>
        </w:rPr>
        <w:t>З</w:t>
      </w:r>
      <w:r>
        <w:rPr>
          <w:b/>
          <w:sz w:val="28"/>
          <w:szCs w:val="28"/>
        </w:rPr>
        <w:t>ВІТ</w:t>
      </w:r>
      <w:r>
        <w:rPr>
          <w:b/>
          <w:sz w:val="28"/>
          <w:szCs w:val="28"/>
        </w:rPr>
        <w:br/>
        <w:t xml:space="preserve">про формування виборчого фонду </w:t>
      </w:r>
      <w:r>
        <w:rPr>
          <w:b/>
          <w:sz w:val="28"/>
          <w:szCs w:val="28"/>
        </w:rPr>
        <w:br/>
        <w:t>кандидата на пост Президента України</w:t>
      </w:r>
    </w:p>
    <w:p w:rsidR="008F0D27" w:rsidRDefault="008F0D27" w:rsidP="008F0D27">
      <w:pPr>
        <w:jc w:val="center"/>
        <w:rPr>
          <w:b/>
          <w:sz w:val="8"/>
          <w:szCs w:val="20"/>
        </w:rPr>
      </w:pPr>
    </w:p>
    <w:p w:rsidR="008F0D27" w:rsidRDefault="008F0D27" w:rsidP="008F0D27">
      <w:pPr>
        <w:jc w:val="center"/>
        <w:rPr>
          <w:sz w:val="20"/>
          <w:szCs w:val="20"/>
        </w:rPr>
      </w:pPr>
      <w:r>
        <w:rPr>
          <w:b/>
          <w:szCs w:val="28"/>
        </w:rPr>
        <w:t>проміжний</w:t>
      </w:r>
    </w:p>
    <w:p w:rsidR="008F0D27" w:rsidRDefault="008F0D27" w:rsidP="008F0D27">
      <w:pPr>
        <w:spacing w:after="120"/>
        <w:jc w:val="center"/>
      </w:pPr>
      <w:r>
        <w:rPr>
          <w:sz w:val="20"/>
          <w:szCs w:val="20"/>
        </w:rPr>
        <w:t>(вид звіту: проміжний, остаточний)</w:t>
      </w:r>
      <w:r>
        <w:rPr>
          <w:sz w:val="20"/>
          <w:szCs w:val="20"/>
        </w:rPr>
        <w:br/>
      </w:r>
    </w:p>
    <w:p w:rsidR="008F0D27" w:rsidRDefault="008F0D27" w:rsidP="008F0D27">
      <w:pPr>
        <w:jc w:val="center"/>
        <w:rPr>
          <w:b/>
          <w:bCs/>
        </w:rPr>
      </w:pPr>
      <w:r>
        <w:t xml:space="preserve">за період з "12"лютого  до "18" березня 2019 року </w:t>
      </w:r>
    </w:p>
    <w:p w:rsidR="008F0D27" w:rsidRDefault="008F0D27" w:rsidP="008F0D27">
      <w:pPr>
        <w:spacing w:before="280"/>
        <w:jc w:val="center"/>
        <w:rPr>
          <w:b/>
          <w:bCs/>
        </w:rPr>
      </w:pPr>
      <w:r>
        <w:rPr>
          <w:b/>
          <w:bCs/>
        </w:rPr>
        <w:t>ГАБЕР МИКОЛА ОЛЕКСАНДРОВИЧ</w:t>
      </w:r>
      <w:r>
        <w:br/>
      </w:r>
      <w:r>
        <w:rPr>
          <w:sz w:val="20"/>
          <w:szCs w:val="20"/>
        </w:rPr>
        <w:t>(прізвище, ім’я, по батькові кандидата)</w:t>
      </w:r>
      <w:r>
        <w:rPr>
          <w:sz w:val="20"/>
          <w:szCs w:val="20"/>
        </w:rPr>
        <w:br/>
      </w:r>
      <w:r>
        <w:rPr>
          <w:b/>
          <w:sz w:val="28"/>
          <w:szCs w:val="28"/>
        </w:rPr>
        <w:t xml:space="preserve">Головне  управління  по  м. Києву  та  Київській  області </w:t>
      </w:r>
      <w:r>
        <w:rPr>
          <w:b/>
          <w:bCs/>
          <w:sz w:val="28"/>
          <w:szCs w:val="28"/>
        </w:rPr>
        <w:t>АТ «Ощадбанк» ТВБВ 10026/0533</w:t>
      </w:r>
      <w:r>
        <w:br/>
      </w:r>
      <w:r>
        <w:rPr>
          <w:sz w:val="20"/>
          <w:szCs w:val="20"/>
        </w:rPr>
        <w:t xml:space="preserve">(назва та код банку, в якому відкрито накопичувальний рахунок, № рахунку) </w:t>
      </w:r>
    </w:p>
    <w:p w:rsidR="008F0D27" w:rsidRDefault="008F0D27" w:rsidP="008F0D27">
      <w:pPr>
        <w:spacing w:before="120" w:after="280"/>
        <w:jc w:val="center"/>
        <w:rPr>
          <w:sz w:val="8"/>
          <w:szCs w:val="12"/>
        </w:rPr>
      </w:pPr>
      <w:r>
        <w:rPr>
          <w:b/>
          <w:bCs/>
        </w:rPr>
        <w:t>МФО 322669  рахунок № 26407501913281</w:t>
      </w:r>
    </w:p>
    <w:p w:rsidR="008F0D27" w:rsidRDefault="008F0D27" w:rsidP="008F0D27">
      <w:pPr>
        <w:jc w:val="both"/>
        <w:rPr>
          <w:sz w:val="8"/>
          <w:szCs w:val="1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7652"/>
        <w:gridCol w:w="1192"/>
      </w:tblGrid>
      <w:tr w:rsidR="008F0D27" w:rsidTr="00942DCF">
        <w:trPr>
          <w:cantSplit/>
          <w:trHeight w:val="85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Код статті 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Найменування статті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  <w:sz w:val="20"/>
                <w:szCs w:val="20"/>
              </w:rPr>
              <w:t xml:space="preserve">Сума </w:t>
            </w:r>
            <w:r>
              <w:rPr>
                <w:bCs/>
                <w:sz w:val="20"/>
                <w:szCs w:val="20"/>
              </w:rPr>
              <w:br/>
              <w:t>(грн)</w:t>
            </w:r>
          </w:p>
        </w:tc>
      </w:tr>
      <w:tr w:rsidR="008F0D27" w:rsidTr="00942DCF">
        <w:trPr>
          <w:cantSplit/>
        </w:trPr>
        <w:tc>
          <w:tcPr>
            <w:tcW w:w="9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60" w:after="60"/>
              <w:jc w:val="center"/>
            </w:pPr>
            <w:r>
              <w:rPr>
                <w:b/>
                <w:bCs/>
              </w:rPr>
              <w:t>1. Надходження коштів на накопичувальний рахунок виборчого фонду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Cs/>
              </w:rPr>
              <w:t>Кошти партії</w:t>
            </w:r>
            <w:r>
              <w:t xml:space="preserve">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Cs/>
              </w:rPr>
              <w:t xml:space="preserve">Власні кошти </w:t>
            </w:r>
            <w:r>
              <w:t>кандидата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t xml:space="preserve">Добровільні внески </w:t>
            </w:r>
            <w:r>
              <w:rPr>
                <w:rFonts w:eastAsia="Times New Roman"/>
              </w:rPr>
              <w:t xml:space="preserve">юридичних осіб, у тому числі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rPr>
                <w:i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rPr>
                <w:i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t>Добровільні внески</w:t>
            </w:r>
            <w:r>
              <w:rPr>
                <w:rFonts w:eastAsia="Times New Roman"/>
              </w:rPr>
              <w:t xml:space="preserve"> фізичних осіб, у тому числі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rPr>
                <w:i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i/>
              </w:rPr>
            </w:pPr>
            <w:r>
              <w:rPr>
                <w:bCs/>
                <w:i/>
              </w:rPr>
              <w:t>11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rPr>
                <w:i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t>12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t>Помилкові надходження коштів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8F0D27" w:rsidTr="00942DCF">
        <w:trPr>
          <w:cantSplit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 xml:space="preserve">Усього надійшло коштів на накопичувальний рахунок виборчого фонду 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(1 + 2 + 3 + 4 +12)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8F0D27" w:rsidTr="00942DCF">
        <w:trPr>
          <w:cantSplit/>
        </w:trPr>
        <w:tc>
          <w:tcPr>
            <w:tcW w:w="9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60" w:after="60"/>
              <w:jc w:val="center"/>
            </w:pPr>
            <w:r>
              <w:rPr>
                <w:b/>
                <w:bCs/>
              </w:rPr>
              <w:t>2. Перерахування коштів із накопичувального рахунку виборчого фонду</w:t>
            </w:r>
            <w:r>
              <w:t> 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 xml:space="preserve">Повернення добровільних внесків особам </w:t>
            </w:r>
            <w:r>
              <w:rPr>
                <w:bCs/>
              </w:rPr>
              <w:t>(2100 + 2200 + 2400)</w:t>
            </w:r>
            <w:r>
              <w:t> 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t>2100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t>2200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lastRenderedPageBreak/>
              <w:t>2400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i/>
                <w:lang w:val="ru-RU"/>
              </w:rPr>
            </w:pPr>
            <w: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i/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 xml:space="preserve">Перерахування внесків до Державного бюджету України 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(3110 + 3120 + 3210 + 3220)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t>3110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Pr="008F0D27" w:rsidRDefault="008F0D27" w:rsidP="00942DCF">
            <w:pPr>
              <w:spacing w:before="20" w:after="20"/>
            </w:pPr>
            <w: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t>3120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uk-UA"/>
              </w:rPr>
            </w:pPr>
            <w: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uk-UA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t>3210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Pr="008F0D27" w:rsidRDefault="008F0D27" w:rsidP="00942DCF">
            <w:pPr>
              <w:spacing w:before="20" w:after="20"/>
            </w:pPr>
            <w: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</w:pPr>
            <w:r>
              <w:rPr>
                <w:bCs/>
              </w:rPr>
              <w:t>3220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>Повернення помилкових надходжень коштів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6000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 xml:space="preserve">Усього перераховано коштів із накопичувального рахунку виборчого фонду </w:t>
            </w:r>
            <w:r>
              <w:rPr>
                <w:bCs/>
              </w:rPr>
              <w:t>(2000 + 3000 +4000 + 5000 + 6000)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0</w:t>
            </w:r>
          </w:p>
        </w:tc>
      </w:tr>
      <w:tr w:rsidR="008F0D27" w:rsidTr="00942DCF">
        <w:trPr>
          <w:cantSplit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0D27" w:rsidRDefault="008F0D27" w:rsidP="00942DCF">
            <w:pPr>
              <w:spacing w:before="20" w:after="20"/>
              <w:rPr>
                <w:lang w:val="ru-RU"/>
              </w:rPr>
            </w:pPr>
            <w:r>
              <w:rPr>
                <w:b/>
                <w:bCs/>
              </w:rPr>
              <w:t xml:space="preserve">Загальний розмір виборчого фонду </w:t>
            </w:r>
            <w:r>
              <w:rPr>
                <w:bCs/>
              </w:rPr>
              <w:t xml:space="preserve">(1 + 2 + 3 + 4 +12) − (2000 + 3000 + 4000 + 5000 + 6000)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D27" w:rsidRDefault="008F0D27" w:rsidP="00942DCF">
            <w:pPr>
              <w:snapToGrid w:val="0"/>
              <w:spacing w:before="20" w:after="20"/>
              <w:jc w:val="center"/>
            </w:pPr>
            <w:r>
              <w:rPr>
                <w:lang w:val="ru-RU"/>
              </w:rPr>
              <w:t>500</w:t>
            </w:r>
          </w:p>
        </w:tc>
      </w:tr>
    </w:tbl>
    <w:p w:rsidR="008F0D27" w:rsidRDefault="008F0D27" w:rsidP="008F0D27">
      <w:pPr>
        <w:spacing w:before="280" w:after="120"/>
        <w:jc w:val="right"/>
      </w:pPr>
      <w:r>
        <w:t xml:space="preserve">Звіт подано " </w:t>
      </w:r>
      <w:r>
        <w:rPr>
          <w:lang w:val="uk-UA"/>
        </w:rPr>
        <w:t xml:space="preserve">21 </w:t>
      </w:r>
      <w:r>
        <w:t xml:space="preserve">" </w:t>
      </w:r>
      <w:r>
        <w:rPr>
          <w:lang w:val="uk-UA"/>
        </w:rPr>
        <w:t>Березня  2019 року</w:t>
      </w:r>
    </w:p>
    <w:p w:rsidR="008F0D27" w:rsidRDefault="008F0D27" w:rsidP="008F0D27">
      <w:pPr>
        <w:rPr>
          <w:sz w:val="28"/>
          <w:szCs w:val="28"/>
        </w:rPr>
      </w:pPr>
      <w:r>
        <w:t xml:space="preserve">Розпорядник </w:t>
      </w:r>
      <w:r>
        <w:br/>
        <w:t xml:space="preserve">накопичувального рахунку </w:t>
      </w:r>
      <w:r>
        <w:br/>
        <w:t xml:space="preserve">виборчого фонду                              ___________                                  </w:t>
      </w:r>
      <w:r>
        <w:rPr>
          <w:lang w:val="ru-RU"/>
        </w:rPr>
        <w:t>ЛЕОНТЬ</w:t>
      </w:r>
      <w:r>
        <w:rPr>
          <w:lang w:val="uk-UA"/>
        </w:rPr>
        <w:t>ЄВА Л.В.</w:t>
      </w:r>
      <w:r>
        <w:br/>
      </w:r>
      <w:r>
        <w:rPr>
          <w:szCs w:val="20"/>
        </w:rPr>
        <w:t xml:space="preserve">                                                                </w:t>
      </w:r>
      <w:r>
        <w:rPr>
          <w:sz w:val="20"/>
          <w:szCs w:val="20"/>
        </w:rPr>
        <w:t>(підпис)                                                 (прізвище та ініціали)</w:t>
      </w:r>
    </w:p>
    <w:p w:rsidR="008F0D27" w:rsidRDefault="008F0D27" w:rsidP="008F0D27">
      <w:pPr>
        <w:rPr>
          <w:sz w:val="28"/>
          <w:szCs w:val="28"/>
        </w:rPr>
      </w:pPr>
    </w:p>
    <w:p w:rsidR="008F0D27" w:rsidRDefault="008F0D27" w:rsidP="008F0D27"/>
    <w:p w:rsidR="00504AB8" w:rsidRPr="008F0D27" w:rsidRDefault="00504AB8">
      <w:pPr>
        <w:rPr>
          <w:b/>
        </w:rPr>
      </w:pPr>
      <w:bookmarkStart w:id="0" w:name="_GoBack"/>
      <w:bookmarkEnd w:id="0"/>
    </w:p>
    <w:sectPr w:rsidR="00504AB8" w:rsidRPr="008F0D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11A"/>
    <w:rsid w:val="00504AB8"/>
    <w:rsid w:val="008F0D27"/>
    <w:rsid w:val="00CB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2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2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2664</Words>
  <Characters>1520</Characters>
  <Application>Microsoft Office Word</Application>
  <DocSecurity>0</DocSecurity>
  <Lines>12</Lines>
  <Paragraphs>8</Paragraphs>
  <ScaleCrop>false</ScaleCrop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Вовк Т.І.</dc:creator>
  <cp:keywords/>
  <dc:description/>
  <cp:lastModifiedBy>Вовк Т.І.</cp:lastModifiedBy>
  <cp:revision>2</cp:revision>
  <dcterms:created xsi:type="dcterms:W3CDTF">2019-03-21T08:28:00Z</dcterms:created>
  <dcterms:modified xsi:type="dcterms:W3CDTF">2019-03-21T08:28:00Z</dcterms:modified>
</cp:coreProperties>
</file>