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A20C16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457B">
        <w:rPr>
          <w:sz w:val="26"/>
          <w:szCs w:val="26"/>
        </w:rPr>
        <w:tab/>
      </w:r>
      <w:r>
        <w:rPr>
          <w:sz w:val="26"/>
          <w:szCs w:val="26"/>
        </w:rPr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A91422" w:rsidRDefault="001E179B" w:rsidP="00A91422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A1093E">
        <w:rPr>
          <w:sz w:val="26"/>
          <w:szCs w:val="26"/>
        </w:rPr>
        <w:t xml:space="preserve">     </w:t>
      </w:r>
      <w:r w:rsidR="00A91422">
        <w:rPr>
          <w:sz w:val="26"/>
          <w:szCs w:val="26"/>
        </w:rPr>
        <w:t>19липня 2019 року № 91/19</w:t>
      </w:r>
    </w:p>
    <w:p w:rsidR="00A91422" w:rsidRDefault="00A91422" w:rsidP="00A91422">
      <w:pPr>
        <w:rPr>
          <w:rStyle w:val="rvts15"/>
          <w:b/>
        </w:rPr>
      </w:pPr>
    </w:p>
    <w:p w:rsidR="003C311D" w:rsidRDefault="003C311D" w:rsidP="007729F9">
      <w:pPr>
        <w:rPr>
          <w:sz w:val="26"/>
          <w:szCs w:val="26"/>
        </w:rPr>
      </w:pP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32346C" w:rsidRPr="0032346C" w:rsidRDefault="001E179B" w:rsidP="00A1093E">
      <w:pPr>
        <w:tabs>
          <w:tab w:val="left" w:pos="1342"/>
        </w:tabs>
        <w:jc w:val="center"/>
        <w:rPr>
          <w:sz w:val="20"/>
          <w:szCs w:val="20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716A62">
        <w:rPr>
          <w:b/>
          <w:szCs w:val="28"/>
        </w:rPr>
        <w:t>ди державної служби</w:t>
      </w:r>
      <w:r w:rsidR="00716A62">
        <w:rPr>
          <w:b/>
          <w:szCs w:val="28"/>
        </w:rPr>
        <w:br/>
        <w:t>категорії «В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</w:t>
      </w:r>
      <w:r w:rsidR="00DB6AB7">
        <w:rPr>
          <w:b/>
          <w:szCs w:val="28"/>
        </w:rPr>
        <w:t>головн</w:t>
      </w:r>
      <w:bookmarkStart w:id="0" w:name="_GoBack"/>
      <w:bookmarkEnd w:id="0"/>
      <w:r w:rsidR="00DB6AB7">
        <w:rPr>
          <w:b/>
          <w:szCs w:val="28"/>
        </w:rPr>
        <w:t xml:space="preserve">ого спеціаліста </w:t>
      </w:r>
      <w:r w:rsidR="00A1093E">
        <w:rPr>
          <w:b/>
          <w:szCs w:val="28"/>
        </w:rPr>
        <w:t xml:space="preserve">відділу </w:t>
      </w:r>
      <w:r w:rsidR="007417B2" w:rsidRPr="007417B2">
        <w:rPr>
          <w:b/>
          <w:szCs w:val="28"/>
        </w:rPr>
        <w:t>аналітичної та роз’яснювальної роботи</w:t>
      </w:r>
      <w:r w:rsidR="007417B2">
        <w:rPr>
          <w:b/>
          <w:szCs w:val="28"/>
        </w:rPr>
        <w:br/>
      </w:r>
      <w:r w:rsidR="007417B2" w:rsidRPr="007417B2">
        <w:rPr>
          <w:b/>
          <w:szCs w:val="28"/>
        </w:rPr>
        <w:t xml:space="preserve"> Департаменту перевірки декларацій та моніторингу способу життя </w:t>
      </w:r>
    </w:p>
    <w:p w:rsidR="004F618A" w:rsidRDefault="004F618A" w:rsidP="004F618A">
      <w:pPr>
        <w:widowControl w:val="0"/>
        <w:spacing w:before="120"/>
        <w:ind w:firstLine="567"/>
        <w:jc w:val="center"/>
        <w:rPr>
          <w:sz w:val="24"/>
        </w:rPr>
      </w:pPr>
      <w:r>
        <w:rPr>
          <w:sz w:val="32"/>
          <w:szCs w:val="32"/>
          <w:u w:val="single"/>
        </w:rPr>
        <w:t>оголошення № 155181</w:t>
      </w:r>
      <w:r>
        <w:rPr>
          <w:sz w:val="32"/>
          <w:szCs w:val="32"/>
        </w:rPr>
        <w:br/>
      </w:r>
      <w:r>
        <w:rPr>
          <w:sz w:val="24"/>
        </w:rPr>
        <w:t xml:space="preserve">  (номер вакансії, оприлюдненої на офіційному веб-сайті НАДС)</w:t>
      </w:r>
    </w:p>
    <w:p w:rsidR="004F618A" w:rsidRDefault="004F618A" w:rsidP="004F618A">
      <w:pPr>
        <w:tabs>
          <w:tab w:val="left" w:pos="1342"/>
        </w:tabs>
        <w:jc w:val="center"/>
        <w:rPr>
          <w:sz w:val="20"/>
          <w:szCs w:val="20"/>
        </w:rPr>
      </w:pPr>
    </w:p>
    <w:p w:rsidR="003B00AA" w:rsidRPr="008F0F98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4247"/>
        <w:gridCol w:w="9931"/>
      </w:tblGrid>
      <w:tr w:rsidR="001E179B" w:rsidTr="00471093">
        <w:tc>
          <w:tcPr>
            <w:tcW w:w="146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944037" w:rsidRDefault="002F0A23" w:rsidP="002F0A23">
            <w:pPr>
              <w:pStyle w:val="a7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</w:t>
            </w: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) 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дійснення методичного та консультативного забезпечення виконання законодавства з питань подання та перевірки декларацій суб’єктів декларування та інших заходів фінансового контролю, визначених Законом України «Про запобігання корупції»;</w:t>
            </w:r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2) підготовка пропозицій щодо внесення змін до нормативно-правових актів з питань, віднесених до компетенції Департаменту та Національного агентства;</w:t>
            </w:r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3) участь у проведенні навчань, тренінгів осіб, уповноважених на виконання функцій держави або місцевого самоврядування;</w:t>
            </w:r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4) надання консультації з питань віднесених до компетенції Департаменту;</w:t>
            </w:r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5) участь у здійсненні антикорупційної експертизи проектів актів, моніторингу законодавства на предмет виявлення корупціогенних норм;</w:t>
            </w:r>
          </w:p>
          <w:p w:rsidR="00DB6AB7" w:rsidRPr="00A8206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>6) підготовка пропозицій стосовно удосконалення системи подання та оприлюднення декларацій осіб, уповноважених на виконання функцій держави або місцевого самоврядування з питань, віднесених до компетенції Департаменту;</w:t>
            </w:r>
          </w:p>
          <w:p w:rsidR="00DB6AB7" w:rsidRDefault="00DB6AB7" w:rsidP="00DB6AB7">
            <w:pPr>
              <w:pStyle w:val="Bodytext21"/>
              <w:shd w:val="clear" w:color="auto" w:fill="auto"/>
              <w:tabs>
                <w:tab w:val="left" w:pos="851"/>
                <w:tab w:val="left" w:pos="993"/>
              </w:tabs>
              <w:spacing w:before="120" w:after="120" w:line="240" w:lineRule="auto"/>
              <w:ind w:firstLine="720"/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 аналіз інформації, яка розміщена у друкованих та електронних засобах масової інформації, а також на сторінках у соціальних мережах, яка стосується виконання завдань та </w:t>
            </w:r>
            <w:r w:rsidRPr="00A82067">
              <w:rPr>
                <w:rStyle w:val="Bodytext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функцій Відділу та Департаменту;</w:t>
            </w:r>
          </w:p>
          <w:p w:rsidR="00DB6AB7" w:rsidRDefault="00DB6AB7" w:rsidP="00DB6AB7">
            <w:pPr>
              <w:widowControl w:val="0"/>
              <w:spacing w:before="100"/>
              <w:rPr>
                <w:color w:val="000000"/>
                <w:sz w:val="24"/>
                <w:lang w:eastAsia="uk-UA"/>
              </w:rPr>
            </w:pPr>
            <w:r>
              <w:rPr>
                <w:rStyle w:val="Bodytext2"/>
                <w:sz w:val="24"/>
                <w:szCs w:val="24"/>
              </w:rPr>
              <w:t>8)</w:t>
            </w:r>
            <w:r>
              <w:rPr>
                <w:color w:val="000000"/>
                <w:sz w:val="24"/>
                <w:lang w:eastAsia="uk-UA"/>
              </w:rPr>
              <w:t xml:space="preserve"> здійснення аналітичної та статистичної діяльності щодо основних напрямів діяльності Департаменту;</w:t>
            </w:r>
          </w:p>
          <w:p w:rsidR="00DB6AB7" w:rsidRDefault="00DB6AB7" w:rsidP="00DB6AB7">
            <w:pPr>
              <w:widowControl w:val="0"/>
              <w:spacing w:before="100"/>
              <w:ind w:left="565" w:firstLine="144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9) проведення інформаційно-роз</w:t>
            </w:r>
            <w:r w:rsidRPr="007923C8">
              <w:rPr>
                <w:color w:val="000000"/>
                <w:sz w:val="24"/>
                <w:lang w:eastAsia="uk-UA"/>
              </w:rPr>
              <w:t>’</w:t>
            </w:r>
            <w:r>
              <w:rPr>
                <w:color w:val="000000"/>
                <w:sz w:val="24"/>
                <w:lang w:eastAsia="uk-UA"/>
              </w:rPr>
              <w:t xml:space="preserve">яснювальної роботи для </w:t>
            </w:r>
            <w:r w:rsidRPr="007923C8">
              <w:rPr>
                <w:color w:val="000000"/>
                <w:sz w:val="24"/>
                <w:lang w:eastAsia="uk-UA"/>
              </w:rPr>
              <w:t xml:space="preserve"> </w:t>
            </w:r>
            <w:r w:rsidRPr="0059618A">
              <w:rPr>
                <w:color w:val="000000"/>
                <w:sz w:val="24"/>
                <w:lang w:eastAsia="uk-UA"/>
              </w:rPr>
              <w:t>суб’єктів</w:t>
            </w:r>
            <w:r w:rsidRPr="007923C8">
              <w:rPr>
                <w:color w:val="000000"/>
                <w:sz w:val="24"/>
                <w:lang w:eastAsia="uk-UA"/>
              </w:rPr>
              <w:t xml:space="preserve"> декларування, </w:t>
            </w:r>
            <w:r>
              <w:rPr>
                <w:color w:val="000000"/>
                <w:sz w:val="24"/>
                <w:lang w:eastAsia="uk-UA"/>
              </w:rPr>
              <w:t xml:space="preserve"> </w:t>
            </w:r>
            <w:r w:rsidRPr="007923C8">
              <w:rPr>
                <w:color w:val="000000"/>
                <w:sz w:val="24"/>
                <w:lang w:eastAsia="uk-UA"/>
              </w:rPr>
              <w:t>державних службовців та інших органів виконавчої влади</w:t>
            </w:r>
            <w:r>
              <w:rPr>
                <w:color w:val="000000"/>
                <w:sz w:val="24"/>
                <w:lang w:eastAsia="uk-UA"/>
              </w:rPr>
              <w:t xml:space="preserve"> </w:t>
            </w:r>
            <w:r w:rsidRPr="0059618A">
              <w:rPr>
                <w:color w:val="000000"/>
                <w:sz w:val="24"/>
                <w:lang w:eastAsia="uk-UA"/>
              </w:rPr>
              <w:t>щодо застосування окремих положень Закону України "Про запобігання корупції" стосовно заходів фінансового контрол</w:t>
            </w:r>
            <w:r>
              <w:rPr>
                <w:color w:val="000000"/>
                <w:sz w:val="24"/>
                <w:lang w:eastAsia="uk-UA"/>
              </w:rPr>
              <w:t>ю.</w:t>
            </w:r>
          </w:p>
          <w:p w:rsidR="00DB6AB7" w:rsidRPr="00DB6AB7" w:rsidRDefault="00DB6AB7" w:rsidP="00DB6AB7">
            <w:pPr>
              <w:widowControl w:val="0"/>
              <w:spacing w:before="100"/>
              <w:ind w:left="565" w:firstLine="144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10) </w:t>
            </w:r>
            <w:r w:rsidRPr="005877D2">
              <w:rPr>
                <w:color w:val="000000"/>
                <w:sz w:val="24"/>
                <w:lang w:eastAsia="uk-UA"/>
              </w:rPr>
              <w:t>Розгляд звернень (запитів) народних депутатів, громадських організацій, фізичних та юридичних осіб  з пита</w:t>
            </w:r>
            <w:r>
              <w:rPr>
                <w:color w:val="000000"/>
                <w:sz w:val="24"/>
                <w:lang w:eastAsia="uk-UA"/>
              </w:rPr>
              <w:t>нь, що належать до компетенції В</w:t>
            </w:r>
            <w:r w:rsidRPr="005877D2">
              <w:rPr>
                <w:color w:val="000000"/>
                <w:sz w:val="24"/>
                <w:lang w:eastAsia="uk-UA"/>
              </w:rPr>
              <w:t>ідділу</w:t>
            </w:r>
            <w:r>
              <w:rPr>
                <w:color w:val="000000"/>
                <w:sz w:val="24"/>
                <w:lang w:eastAsia="uk-UA"/>
              </w:rPr>
              <w:t>.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DB6AB7" w:rsidP="0084323B">
            <w:pPr>
              <w:pStyle w:val="rvps14"/>
              <w:jc w:val="center"/>
            </w:pPr>
            <w:r>
              <w:lastRenderedPageBreak/>
              <w:t xml:space="preserve"> 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Default="00DB6AB7" w:rsidP="00DB6AB7">
            <w:pPr>
              <w:pStyle w:val="rvps14"/>
              <w:spacing w:before="0" w:beforeAutospacing="0" w:after="0" w:afterAutospacing="0"/>
              <w:ind w:left="140"/>
              <w:rPr>
                <w:b/>
              </w:rPr>
            </w:pPr>
            <w:r>
              <w:rPr>
                <w:b/>
              </w:rPr>
              <w:t>посадовий оклад – 10 000</w:t>
            </w:r>
            <w:r w:rsidR="002F0A23" w:rsidRPr="00C147EF">
              <w:rPr>
                <w:b/>
              </w:rPr>
              <w:t>,</w:t>
            </w:r>
            <w:r w:rsidR="00A1093E">
              <w:rPr>
                <w:b/>
              </w:rPr>
              <w:t>0</w:t>
            </w:r>
            <w:r w:rsidR="002F0A23" w:rsidRPr="00C147EF">
              <w:rPr>
                <w:b/>
              </w:rPr>
              <w:t>0 грн;</w:t>
            </w:r>
          </w:p>
          <w:p w:rsidR="002F0A23" w:rsidRPr="003D5944" w:rsidRDefault="002F0A23" w:rsidP="00DB6AB7">
            <w:pPr>
              <w:ind w:left="140"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2F0A23" w:rsidRDefault="002F0A23" w:rsidP="00DB6AB7">
            <w:pPr>
              <w:pStyle w:val="rvps14"/>
              <w:spacing w:before="0" w:beforeAutospacing="0" w:after="0" w:afterAutospacing="0"/>
              <w:ind w:left="14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E979A3" w:rsidRDefault="0084323B" w:rsidP="002F0A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A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F0A23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F0A23" w:rsidRPr="0092023D" w:rsidRDefault="00020E5A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  <w:r w:rsidR="002F0A23"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2F0A23" w:rsidRPr="0092023D" w:rsidRDefault="00020E5A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2F0A23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2F0A23" w:rsidRPr="0092023D" w:rsidRDefault="00020E5A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2F0A23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2F0A23" w:rsidRPr="0092023D" w:rsidRDefault="00020E5A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="002F0A23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2F0A23">
              <w:rPr>
                <w:spacing w:val="-6"/>
                <w:lang w:val="uk-UA"/>
              </w:rPr>
              <w:t>8</w:t>
            </w:r>
            <w:r w:rsidR="002F0A23"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2F0A23" w:rsidRPr="00AF2FAC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 w:rsidR="00553916">
              <w:rPr>
                <w:b/>
                <w:spacing w:val="-6"/>
                <w:lang w:val="uk-UA"/>
              </w:rPr>
              <w:t xml:space="preserve"> 00 хв. 08</w:t>
            </w:r>
            <w:r w:rsidR="000F58A0">
              <w:rPr>
                <w:b/>
                <w:spacing w:val="-6"/>
                <w:lang w:val="uk-UA"/>
              </w:rPr>
              <w:t xml:space="preserve"> серпня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687244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687244" w:rsidRPr="00503299" w:rsidRDefault="00575188" w:rsidP="0084323B">
            <w:pPr>
              <w:pStyle w:val="rvps14"/>
              <w:jc w:val="center"/>
            </w:pPr>
            <w:r w:rsidRPr="00575188">
              <w:rPr>
                <w:lang w:eastAsia="ru-RU"/>
              </w:rPr>
              <w:t>Додаткові (необов’язкові) документи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687244" w:rsidRPr="0092023D" w:rsidRDefault="00575188" w:rsidP="00575188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226DE3" w:rsidRDefault="00226DE3" w:rsidP="00226DE3">
            <w:pPr>
              <w:pStyle w:val="rvps14"/>
              <w:jc w:val="center"/>
            </w:pPr>
            <w:r w:rsidRPr="00226DE3">
              <w:rPr>
                <w:lang w:eastAsia="ru-RU"/>
              </w:rPr>
              <w:t xml:space="preserve">Місце, час і дата початку проведення перевірки володіння іноземною мовою, яка є </w:t>
            </w:r>
            <w:r w:rsidRPr="00226DE3">
              <w:rPr>
                <w:lang w:eastAsia="ru-RU"/>
              </w:rPr>
              <w:lastRenderedPageBreak/>
              <w:t>однією з офіційних мов Ради Європи/тестування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A23" w:rsidRPr="0092023D" w:rsidRDefault="00553916" w:rsidP="002F0A23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lastRenderedPageBreak/>
              <w:t xml:space="preserve"> 15</w:t>
            </w:r>
            <w:r w:rsidR="000F58A0">
              <w:rPr>
                <w:spacing w:val="-6"/>
                <w:lang w:val="uk-UA" w:eastAsia="en-US"/>
              </w:rPr>
              <w:t xml:space="preserve"> серпня</w:t>
            </w:r>
            <w:r w:rsidR="002F0A23" w:rsidRPr="006C6C8E">
              <w:rPr>
                <w:spacing w:val="-6"/>
                <w:lang w:val="uk-UA" w:eastAsia="en-US"/>
              </w:rPr>
              <w:t xml:space="preserve"> </w:t>
            </w:r>
            <w:r w:rsidR="002F0A23">
              <w:rPr>
                <w:spacing w:val="-6"/>
                <w:lang w:val="uk-UA" w:eastAsia="en-US"/>
              </w:rPr>
              <w:t>2019</w:t>
            </w:r>
            <w:r w:rsidR="002F0A23"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</w:t>
            </w:r>
            <w:r w:rsidR="000F58A0">
              <w:rPr>
                <w:spacing w:val="-6"/>
                <w:lang w:val="uk-UA" w:eastAsia="en-US"/>
              </w:rPr>
              <w:t xml:space="preserve"> </w:t>
            </w:r>
            <w:r w:rsidR="002F0A23" w:rsidRPr="0092023D">
              <w:rPr>
                <w:spacing w:val="-6"/>
                <w:lang w:val="uk-UA" w:eastAsia="en-US"/>
              </w:rPr>
              <w:t>поінформовано додатково).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2279BE" w:rsidRDefault="002F0A23" w:rsidP="002F0A23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2F0A23" w:rsidRPr="00503299" w:rsidTr="00471093">
        <w:tc>
          <w:tcPr>
            <w:tcW w:w="1460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F0A23" w:rsidRPr="00EF28D2" w:rsidRDefault="002F0A23" w:rsidP="002F0A2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F0A23" w:rsidRPr="00503299" w:rsidTr="00471093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1.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503299" w:rsidRDefault="002F0A23" w:rsidP="002F0A23">
            <w:pPr>
              <w:pStyle w:val="rvps14"/>
            </w:pPr>
            <w:r>
              <w:t>Вища освіта за осв</w:t>
            </w:r>
            <w:r w:rsidR="00DB6AB7">
              <w:t xml:space="preserve">ітнім ступенем не нижче бакалавра або молодшого бакалавра </w:t>
            </w:r>
          </w:p>
        </w:tc>
      </w:tr>
      <w:tr w:rsidR="002F0A23" w:rsidRPr="00503299" w:rsidTr="00471093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2.   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503299" w:rsidRDefault="00DB6AB7" w:rsidP="002F0A23">
            <w:pPr>
              <w:pStyle w:val="rvps14"/>
            </w:pPr>
            <w:r>
              <w:t>Не потребує</w:t>
            </w:r>
          </w:p>
        </w:tc>
      </w:tr>
      <w:tr w:rsidR="002F0A23" w:rsidRPr="00503299" w:rsidTr="00020E5A">
        <w:trPr>
          <w:trHeight w:val="393"/>
        </w:trPr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3.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020E5A" w:rsidRPr="00503299" w:rsidRDefault="002F0A23" w:rsidP="002F0A23">
            <w:pPr>
              <w:pStyle w:val="rvps14"/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3"/>
        <w:gridCol w:w="4250"/>
        <w:gridCol w:w="9930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020E5A" w:rsidRDefault="00020E5A" w:rsidP="006538B1">
            <w:pPr>
              <w:ind w:firstLine="0"/>
              <w:jc w:val="center"/>
              <w:rPr>
                <w:b/>
                <w:szCs w:val="28"/>
              </w:rPr>
            </w:pPr>
          </w:p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020E5A">
        <w:trPr>
          <w:tblCellSpacing w:w="22" w:type="dxa"/>
        </w:trPr>
        <w:tc>
          <w:tcPr>
            <w:tcW w:w="1572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83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83" w:type="pct"/>
            <w:shd w:val="clear" w:color="auto" w:fill="auto"/>
          </w:tcPr>
          <w:p w:rsidR="00020E5A" w:rsidRPr="00FA4744" w:rsidRDefault="00020E5A" w:rsidP="00020E5A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перемовини та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Досягнення результатів </w:t>
            </w:r>
          </w:p>
        </w:tc>
        <w:tc>
          <w:tcPr>
            <w:tcW w:w="3383" w:type="pct"/>
          </w:tcPr>
          <w:p w:rsidR="00020E5A" w:rsidRPr="00575188" w:rsidRDefault="00020E5A" w:rsidP="00020E5A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- чітке бачення результату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</w:t>
            </w:r>
            <w:r>
              <w:rPr>
                <w:sz w:val="24"/>
              </w:rPr>
              <w:t xml:space="preserve"> вміння розподіляти роботу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 чітке планування реалізації</w:t>
            </w:r>
            <w:r>
              <w:rPr>
                <w:sz w:val="24"/>
              </w:rPr>
              <w:t xml:space="preserve"> завдання;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83" w:type="pct"/>
          </w:tcPr>
          <w:p w:rsidR="00020E5A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020E5A" w:rsidRDefault="00020E5A" w:rsidP="00020E5A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вільне користування правовими базами;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83" w:type="pct"/>
          </w:tcPr>
          <w:p w:rsidR="00020E5A" w:rsidRPr="00E12E4B" w:rsidRDefault="00020E5A" w:rsidP="00020E5A">
            <w:pPr>
              <w:pStyle w:val="ac"/>
              <w:ind w:left="57" w:hanging="44"/>
              <w:rPr>
                <w:sz w:val="24"/>
              </w:rPr>
            </w:pPr>
            <w:r w:rsidRPr="00716A62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9D5DCD">
              <w:rPr>
                <w:sz w:val="24"/>
              </w:rPr>
              <w:t>міння працювати в команді</w:t>
            </w:r>
            <w:r>
              <w:rPr>
                <w:sz w:val="24"/>
              </w:rPr>
              <w:t>, уміння організовувати роботу,</w:t>
            </w:r>
            <w:r w:rsidRPr="009D5DCD">
              <w:rPr>
                <w:sz w:val="24"/>
              </w:rPr>
              <w:t xml:space="preserve"> аналітич</w:t>
            </w:r>
            <w:r>
              <w:rPr>
                <w:sz w:val="24"/>
              </w:rPr>
              <w:t>ні здібності, лідерські якості</w:t>
            </w:r>
            <w:r w:rsidRPr="009D5DCD">
              <w:rPr>
                <w:sz w:val="24"/>
              </w:rPr>
              <w:t>, виваженість, здатність концентруватись на деталях, адаптивність,  організаторські здібності,</w:t>
            </w:r>
            <w:r>
              <w:rPr>
                <w:sz w:val="24"/>
              </w:rPr>
              <w:t xml:space="preserve"> стресостійкість.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383" w:type="pct"/>
          </w:tcPr>
          <w:p w:rsidR="00020E5A" w:rsidRPr="00020E5A" w:rsidRDefault="00020E5A" w:rsidP="00020E5A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>ініціативність, порядність, дисциплінованість, готовність допомогти, контроль емоцій, повага до інших, відповідальність</w:t>
            </w:r>
          </w:p>
        </w:tc>
      </w:tr>
      <w:tr w:rsidR="00020E5A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020E5A" w:rsidRPr="006538B1" w:rsidRDefault="00020E5A" w:rsidP="00020E5A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020E5A" w:rsidRPr="006538B1" w:rsidTr="00020E5A">
        <w:trPr>
          <w:tblCellSpacing w:w="22" w:type="dxa"/>
        </w:trPr>
        <w:tc>
          <w:tcPr>
            <w:tcW w:w="1572" w:type="pct"/>
            <w:gridSpan w:val="2"/>
          </w:tcPr>
          <w:p w:rsidR="00020E5A" w:rsidRPr="006538B1" w:rsidRDefault="00020E5A" w:rsidP="00020E5A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lastRenderedPageBreak/>
              <w:t>Вимога</w:t>
            </w:r>
          </w:p>
        </w:tc>
        <w:tc>
          <w:tcPr>
            <w:tcW w:w="3383" w:type="pct"/>
          </w:tcPr>
          <w:p w:rsidR="00020E5A" w:rsidRPr="006538B1" w:rsidRDefault="00020E5A" w:rsidP="00020E5A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020E5A" w:rsidRPr="006538B1" w:rsidTr="00020E5A">
        <w:trPr>
          <w:trHeight w:val="870"/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83" w:type="pct"/>
          </w:tcPr>
          <w:p w:rsidR="00020E5A" w:rsidRPr="006472B4" w:rsidRDefault="00716A62" w:rsidP="00020E5A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8" w:tgtFrame="_top" w:history="1">
              <w:r w:rsidR="00020E5A" w:rsidRPr="006472B4">
                <w:rPr>
                  <w:sz w:val="24"/>
                </w:rPr>
                <w:t>Конституція України</w:t>
              </w:r>
            </w:hyperlink>
            <w:r w:rsidR="00020E5A" w:rsidRPr="006472B4">
              <w:rPr>
                <w:sz w:val="24"/>
              </w:rPr>
              <w:t>;</w:t>
            </w:r>
          </w:p>
          <w:p w:rsidR="00020E5A" w:rsidRPr="006472B4" w:rsidRDefault="00716A62" w:rsidP="00020E5A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9" w:tgtFrame="_top" w:history="1">
              <w:r w:rsidR="00020E5A" w:rsidRPr="006472B4">
                <w:rPr>
                  <w:sz w:val="24"/>
                </w:rPr>
                <w:t>Закон України «Про державну службу</w:t>
              </w:r>
            </w:hyperlink>
            <w:r w:rsidR="00020E5A" w:rsidRPr="006472B4">
              <w:rPr>
                <w:rFonts w:cs="Calibri"/>
                <w:sz w:val="24"/>
                <w:lang w:eastAsia="en-US"/>
              </w:rPr>
              <w:t>»</w:t>
            </w:r>
            <w:r w:rsidR="00020E5A" w:rsidRPr="006472B4">
              <w:rPr>
                <w:sz w:val="24"/>
              </w:rPr>
              <w:t>;</w:t>
            </w:r>
          </w:p>
          <w:p w:rsidR="00020E5A" w:rsidRPr="00742FEA" w:rsidRDefault="00716A62" w:rsidP="00020E5A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color w:val="FF0000"/>
                <w:szCs w:val="22"/>
                <w:lang w:eastAsia="en-US"/>
              </w:rPr>
            </w:pPr>
            <w:hyperlink r:id="rId10" w:tgtFrame="_top" w:history="1">
              <w:r w:rsidR="00020E5A" w:rsidRPr="006472B4">
                <w:rPr>
                  <w:sz w:val="24"/>
                </w:rPr>
                <w:t>Закон України «Про запобігання корупції</w:t>
              </w:r>
            </w:hyperlink>
            <w:r w:rsidR="00020E5A" w:rsidRPr="006472B4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020E5A" w:rsidRPr="006538B1" w:rsidTr="00020E5A">
        <w:trPr>
          <w:trHeight w:val="334"/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Кодекс законів про працю України.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Цивільний кодекс України;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Господарський кодекс України;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Кодекс України про адміністративні правопорушення;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Кримінальний кодекс України;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Цивільний процесуальний кодекс України;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Кримінальний процесуальний кодекс України;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доступ до публічної інформації»;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центральні органи виконавчої влади»;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місцеві державні адміністрації»;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місцеве самоврядування в Україні»;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службу в органах місцевого самоврядування»;</w:t>
            </w:r>
          </w:p>
          <w:p w:rsidR="00020E5A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color w:val="FF0000"/>
                <w:sz w:val="24"/>
              </w:rPr>
            </w:pPr>
            <w:r w:rsidRPr="006472B4">
              <w:rPr>
                <w:sz w:val="24"/>
              </w:rPr>
              <w:t>Закон У</w:t>
            </w:r>
            <w:r>
              <w:rPr>
                <w:sz w:val="24"/>
              </w:rPr>
              <w:t>країни «Про звернення громадян»;</w:t>
            </w:r>
          </w:p>
          <w:p w:rsidR="00020E5A" w:rsidRPr="00DB6AB7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color w:val="FF0000"/>
                <w:sz w:val="24"/>
              </w:rPr>
            </w:pPr>
            <w:r w:rsidRPr="00DB6AB7">
              <w:rPr>
                <w:sz w:val="24"/>
              </w:rPr>
              <w:t>Регламент Національного агентства з питань запобігання корупції</w:t>
            </w:r>
            <w:r w:rsidR="001733E6">
              <w:rPr>
                <w:sz w:val="24"/>
              </w:rPr>
              <w:t xml:space="preserve"> від 12.04.2016 №1 </w:t>
            </w:r>
            <w:r w:rsidR="001733E6">
              <w:rPr>
                <w:sz w:val="24"/>
              </w:rPr>
              <w:br/>
              <w:t>(у редакції рішення Національного агентства з питань запобігання корупції від 05.04.2018 № 611)</w:t>
            </w:r>
            <w:r w:rsidRPr="00DB6AB7">
              <w:rPr>
                <w:sz w:val="24"/>
              </w:rPr>
              <w:t>;</w:t>
            </w:r>
          </w:p>
          <w:p w:rsidR="00020E5A" w:rsidRPr="006472B4" w:rsidRDefault="00020E5A" w:rsidP="00313280">
            <w:pPr>
              <w:numPr>
                <w:ilvl w:val="0"/>
                <w:numId w:val="9"/>
              </w:numPr>
              <w:spacing w:after="80"/>
              <w:ind w:left="472" w:hanging="284"/>
              <w:contextualSpacing/>
              <w:jc w:val="left"/>
              <w:rPr>
                <w:color w:val="FF0000"/>
                <w:sz w:val="24"/>
              </w:rPr>
            </w:pPr>
            <w:r w:rsidRPr="004D6645">
              <w:rPr>
                <w:sz w:val="24"/>
              </w:rPr>
              <w:t>Положення про апарат Національного агентства з питань запобігання корупції</w:t>
            </w:r>
            <w:r>
              <w:rPr>
                <w:sz w:val="24"/>
              </w:rPr>
              <w:t>.</w:t>
            </w:r>
          </w:p>
        </w:tc>
      </w:tr>
      <w:tr w:rsidR="00020E5A" w:rsidRPr="006538B1" w:rsidTr="00020E5A">
        <w:trPr>
          <w:trHeight w:val="465"/>
          <w:tblCellSpacing w:w="22" w:type="dxa"/>
        </w:trPr>
        <w:tc>
          <w:tcPr>
            <w:tcW w:w="123" w:type="pct"/>
          </w:tcPr>
          <w:p w:rsidR="00020E5A" w:rsidRPr="006538B1" w:rsidRDefault="00020E5A" w:rsidP="00020E5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3.</w:t>
            </w:r>
          </w:p>
        </w:tc>
        <w:tc>
          <w:tcPr>
            <w:tcW w:w="1434" w:type="pct"/>
          </w:tcPr>
          <w:p w:rsidR="00020E5A" w:rsidRPr="006538B1" w:rsidRDefault="00020E5A" w:rsidP="00020E5A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83" w:type="pct"/>
          </w:tcPr>
          <w:p w:rsidR="00020E5A" w:rsidRPr="006472B4" w:rsidRDefault="00020E5A" w:rsidP="00020E5A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6472B4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020E5A" w:rsidRPr="007D4B93" w:rsidRDefault="00020E5A" w:rsidP="00020E5A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color w:val="FF0000"/>
                <w:sz w:val="24"/>
              </w:rPr>
            </w:pPr>
            <w:r w:rsidRPr="006472B4">
              <w:rPr>
                <w:rFonts w:eastAsiaTheme="minorEastAsia"/>
                <w:bCs/>
                <w:sz w:val="24"/>
              </w:rPr>
              <w:t>знання механізму роботи з правовими базами даних.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sectPr w:rsidR="00742FEA" w:rsidSect="007D4B93">
      <w:pgSz w:w="16838" w:h="11906" w:orient="landscape"/>
      <w:pgMar w:top="568" w:right="67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6ABAC960"/>
    <w:lvl w:ilvl="0" w:tplc="111EF4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A60A4"/>
    <w:multiLevelType w:val="hybridMultilevel"/>
    <w:tmpl w:val="C2DE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B3C60"/>
    <w:multiLevelType w:val="hybridMultilevel"/>
    <w:tmpl w:val="5742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2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2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0E5A"/>
    <w:rsid w:val="00025045"/>
    <w:rsid w:val="00034253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5A49"/>
    <w:rsid w:val="000C79C3"/>
    <w:rsid w:val="000E1A18"/>
    <w:rsid w:val="000F2F2E"/>
    <w:rsid w:val="000F3E45"/>
    <w:rsid w:val="000F58A0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733E6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2F0A23"/>
    <w:rsid w:val="00302A53"/>
    <w:rsid w:val="00303713"/>
    <w:rsid w:val="00313280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562D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1093"/>
    <w:rsid w:val="00473088"/>
    <w:rsid w:val="00477942"/>
    <w:rsid w:val="00483121"/>
    <w:rsid w:val="00485BBE"/>
    <w:rsid w:val="00487296"/>
    <w:rsid w:val="0049120B"/>
    <w:rsid w:val="004B202A"/>
    <w:rsid w:val="004D1333"/>
    <w:rsid w:val="004D3F8A"/>
    <w:rsid w:val="004F253C"/>
    <w:rsid w:val="004F6138"/>
    <w:rsid w:val="004F618A"/>
    <w:rsid w:val="00514729"/>
    <w:rsid w:val="005156E2"/>
    <w:rsid w:val="005225DB"/>
    <w:rsid w:val="0052384C"/>
    <w:rsid w:val="0053058F"/>
    <w:rsid w:val="00532A6C"/>
    <w:rsid w:val="00536933"/>
    <w:rsid w:val="005448FF"/>
    <w:rsid w:val="00547D77"/>
    <w:rsid w:val="00553916"/>
    <w:rsid w:val="00575188"/>
    <w:rsid w:val="00583886"/>
    <w:rsid w:val="00591CA1"/>
    <w:rsid w:val="005A6F5F"/>
    <w:rsid w:val="005B09FC"/>
    <w:rsid w:val="005B38F0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472B4"/>
    <w:rsid w:val="006538B1"/>
    <w:rsid w:val="00655B76"/>
    <w:rsid w:val="006578A2"/>
    <w:rsid w:val="0066296E"/>
    <w:rsid w:val="00667514"/>
    <w:rsid w:val="00670A99"/>
    <w:rsid w:val="0067304D"/>
    <w:rsid w:val="00687244"/>
    <w:rsid w:val="006A45AA"/>
    <w:rsid w:val="006A781C"/>
    <w:rsid w:val="006B4BE8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16A62"/>
    <w:rsid w:val="00723CB5"/>
    <w:rsid w:val="007417B2"/>
    <w:rsid w:val="00742FEA"/>
    <w:rsid w:val="00760B90"/>
    <w:rsid w:val="007729F9"/>
    <w:rsid w:val="00772EF8"/>
    <w:rsid w:val="007777C6"/>
    <w:rsid w:val="007A3698"/>
    <w:rsid w:val="007A632C"/>
    <w:rsid w:val="007B6D36"/>
    <w:rsid w:val="007D4B93"/>
    <w:rsid w:val="007D4C0F"/>
    <w:rsid w:val="007E48B8"/>
    <w:rsid w:val="007E78C3"/>
    <w:rsid w:val="007F1FEA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A5618"/>
    <w:rsid w:val="009D2263"/>
    <w:rsid w:val="009E20A4"/>
    <w:rsid w:val="009F0B2A"/>
    <w:rsid w:val="00A057F5"/>
    <w:rsid w:val="00A1093E"/>
    <w:rsid w:val="00A1531C"/>
    <w:rsid w:val="00A20C16"/>
    <w:rsid w:val="00A236AE"/>
    <w:rsid w:val="00A300AA"/>
    <w:rsid w:val="00A34A2F"/>
    <w:rsid w:val="00A36A7C"/>
    <w:rsid w:val="00A7305E"/>
    <w:rsid w:val="00A75014"/>
    <w:rsid w:val="00A75336"/>
    <w:rsid w:val="00A91422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457B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704EF"/>
    <w:rsid w:val="00B96A6E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AB7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E60C9"/>
    <w:rsid w:val="00EF28D2"/>
    <w:rsid w:val="00EF3290"/>
    <w:rsid w:val="00F06F94"/>
    <w:rsid w:val="00F21B36"/>
    <w:rsid w:val="00F4262A"/>
    <w:rsid w:val="00F52314"/>
    <w:rsid w:val="00F81DD4"/>
    <w:rsid w:val="00F83FCD"/>
    <w:rsid w:val="00FA09B6"/>
    <w:rsid w:val="00FA5ECE"/>
    <w:rsid w:val="00FA7413"/>
    <w:rsid w:val="00FB0E5A"/>
    <w:rsid w:val="00FC4221"/>
    <w:rsid w:val="00FD17F1"/>
    <w:rsid w:val="00FD60DB"/>
    <w:rsid w:val="00FD6E27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A50B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и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Style64">
    <w:name w:val="Style64"/>
    <w:basedOn w:val="a"/>
    <w:uiPriority w:val="99"/>
    <w:rsid w:val="007417B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Calibri" w:eastAsia="Arial Unicode MS" w:hAnsi="Calibri"/>
      <w:sz w:val="24"/>
      <w:lang w:eastAsia="uk-UA"/>
    </w:rPr>
  </w:style>
  <w:style w:type="character" w:customStyle="1" w:styleId="Bodytext2">
    <w:name w:val="Body text (2)"/>
    <w:uiPriority w:val="99"/>
    <w:rsid w:val="00DB6AB7"/>
    <w:rPr>
      <w:sz w:val="28"/>
      <w:szCs w:val="28"/>
      <w:shd w:val="clear" w:color="auto" w:fill="FFFFFF"/>
    </w:rPr>
  </w:style>
  <w:style w:type="character" w:customStyle="1" w:styleId="Bodytext20">
    <w:name w:val="Body text (2)_"/>
    <w:link w:val="Bodytext21"/>
    <w:locked/>
    <w:rsid w:val="00DB6AB7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0"/>
    <w:rsid w:val="00DB6AB7"/>
    <w:pPr>
      <w:widowControl w:val="0"/>
      <w:shd w:val="clear" w:color="auto" w:fill="FFFFFF"/>
      <w:spacing w:after="60" w:line="322" w:lineRule="exact"/>
      <w:ind w:hanging="200"/>
    </w:pPr>
    <w:rPr>
      <w:rFonts w:asciiTheme="minorHAnsi" w:eastAsiaTheme="minorHAnsi" w:hAnsiTheme="minorHAnsi" w:cstheme="minorBidi"/>
      <w:szCs w:val="28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52D1-7CE0-4511-AAA2-EB4FDF0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Мікула Тетяна Іванівна</cp:lastModifiedBy>
  <cp:revision>51</cp:revision>
  <cp:lastPrinted>2019-06-18T07:36:00Z</cp:lastPrinted>
  <dcterms:created xsi:type="dcterms:W3CDTF">2019-05-22T09:12:00Z</dcterms:created>
  <dcterms:modified xsi:type="dcterms:W3CDTF">2019-07-23T09:34:00Z</dcterms:modified>
</cp:coreProperties>
</file>