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90" w:rsidRDefault="006C4690" w:rsidP="006C4690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6C4690" w:rsidRPr="00B34D0B" w:rsidRDefault="006C4690" w:rsidP="006C4690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№_</w:t>
      </w:r>
      <w:r w:rsidRPr="00254D85">
        <w:rPr>
          <w:rFonts w:eastAsia="Calibri"/>
          <w:b/>
          <w:szCs w:val="28"/>
          <w:u w:val="single"/>
          <w:lang w:eastAsia="uk-UA"/>
        </w:rPr>
        <w:t>1</w:t>
      </w:r>
      <w:r>
        <w:rPr>
          <w:rFonts w:eastAsia="Calibri"/>
          <w:b/>
          <w:szCs w:val="28"/>
          <w:u w:val="single"/>
          <w:lang w:eastAsia="uk-UA"/>
        </w:rPr>
        <w:t>74</w:t>
      </w:r>
      <w:r w:rsidRPr="00B34D0B">
        <w:rPr>
          <w:rFonts w:eastAsia="Calibri"/>
          <w:b/>
          <w:szCs w:val="28"/>
          <w:lang w:eastAsia="uk-UA"/>
        </w:rPr>
        <w:t>___</w:t>
      </w:r>
    </w:p>
    <w:p w:rsidR="006C4690" w:rsidRPr="00B34D0B" w:rsidRDefault="006C4690" w:rsidP="006C4690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6C4690" w:rsidRPr="00B34D0B" w:rsidRDefault="006C4690" w:rsidP="006C4690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proofErr w:type="spellStart"/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</w:t>
      </w:r>
      <w:r w:rsidRPr="00254D85">
        <w:rPr>
          <w:rFonts w:eastAsia="Calibri"/>
          <w:color w:val="000000"/>
          <w:sz w:val="24"/>
          <w:szCs w:val="28"/>
          <w:u w:val="single"/>
          <w:lang w:eastAsia="uk-UA"/>
        </w:rPr>
        <w:t>проміжний</w:t>
      </w:r>
      <w:proofErr w:type="spellEnd"/>
      <w:r w:rsidRPr="00254D85">
        <w:rPr>
          <w:rFonts w:eastAsia="Calibri"/>
          <w:color w:val="000000"/>
          <w:sz w:val="24"/>
          <w:szCs w:val="28"/>
          <w:u w:val="single"/>
          <w:lang w:eastAsia="uk-UA"/>
        </w:rPr>
        <w:t>_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_______________</w:t>
      </w:r>
    </w:p>
    <w:p w:rsidR="006C4690" w:rsidRPr="001C4E78" w:rsidRDefault="006C4690" w:rsidP="006C469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6C4690" w:rsidRPr="00B34D0B" w:rsidRDefault="006C4690" w:rsidP="006C469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 xml:space="preserve"> 01 </w:t>
      </w:r>
      <w:r w:rsidRPr="00B34D0B">
        <w:rPr>
          <w:rFonts w:eastAsia="Calibri"/>
          <w:color w:val="000000"/>
          <w:sz w:val="24"/>
          <w:szCs w:val="24"/>
          <w:lang w:eastAsia="uk-UA"/>
        </w:rPr>
        <w:t>" до "</w:t>
      </w:r>
      <w:r>
        <w:rPr>
          <w:rFonts w:eastAsia="Calibri"/>
          <w:color w:val="000000"/>
          <w:sz w:val="24"/>
          <w:szCs w:val="24"/>
          <w:lang w:eastAsia="uk-UA"/>
        </w:rPr>
        <w:t xml:space="preserve"> 10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6C4690" w:rsidRPr="001C4E78" w:rsidRDefault="006C4690" w:rsidP="006C4690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 xml:space="preserve">   </w:t>
      </w:r>
      <w:proofErr w:type="spellStart"/>
      <w:r w:rsidRPr="00B34D0B">
        <w:rPr>
          <w:rFonts w:eastAsia="Calibri"/>
          <w:color w:val="000000"/>
          <w:sz w:val="24"/>
          <w:szCs w:val="24"/>
        </w:rPr>
        <w:t>___</w:t>
      </w:r>
      <w:r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 xml:space="preserve"> Віктор Миколайович</w:t>
      </w:r>
      <w:r w:rsidRPr="00B34D0B">
        <w:rPr>
          <w:rFonts w:eastAsia="Calibri"/>
          <w:color w:val="000000"/>
          <w:sz w:val="24"/>
          <w:szCs w:val="24"/>
        </w:rPr>
        <w:t>________________________</w:t>
      </w:r>
      <w:r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t>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Акціонерне товариство    комерційний банк     «Приватбанк», Харківське </w:t>
      </w:r>
      <w:proofErr w:type="spellStart"/>
      <w:r w:rsidRPr="002947B3">
        <w:rPr>
          <w:rFonts w:eastAsia="Calibri"/>
          <w:color w:val="000000"/>
          <w:sz w:val="24"/>
          <w:szCs w:val="24"/>
          <w:u w:val="single"/>
        </w:rPr>
        <w:t>ГРУвідділення</w:t>
      </w:r>
      <w:proofErr w:type="spellEnd"/>
      <w:r w:rsidRPr="002947B3">
        <w:rPr>
          <w:rFonts w:eastAsia="Calibri"/>
          <w:color w:val="000000"/>
          <w:sz w:val="24"/>
          <w:szCs w:val="24"/>
          <w:u w:val="single"/>
        </w:rPr>
        <w:t xml:space="preserve"> _№</w:t>
      </w:r>
      <w:r>
        <w:rPr>
          <w:rFonts w:eastAsia="Calibri"/>
          <w:color w:val="000000"/>
          <w:sz w:val="24"/>
          <w:szCs w:val="24"/>
          <w:u w:val="single"/>
        </w:rPr>
        <w:t>108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, код </w:t>
      </w:r>
      <w:r w:rsidRPr="002947B3">
        <w:rPr>
          <w:color w:val="000000"/>
          <w:sz w:val="24"/>
          <w:szCs w:val="24"/>
          <w:u w:val="single"/>
        </w:rPr>
        <w:t>ЄДРПОУ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14360570, № рахунку</w:t>
      </w:r>
      <w:r>
        <w:rPr>
          <w:rFonts w:eastAsia="Calibri"/>
          <w:color w:val="000000"/>
          <w:sz w:val="24"/>
          <w:szCs w:val="24"/>
          <w:u w:val="single"/>
        </w:rPr>
        <w:t xml:space="preserve"> 26436052100790</w:t>
      </w:r>
      <w:r w:rsidRPr="00B34D0B"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6C4690" w:rsidRPr="00B34D0B" w:rsidRDefault="006C4690" w:rsidP="006C4690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p w:rsidR="006C4690" w:rsidRPr="00B34D0B" w:rsidRDefault="006C4690" w:rsidP="006C4690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60"/>
      </w:tblGrid>
      <w:tr w:rsidR="006C4690" w:rsidRPr="00B34D0B" w:rsidTr="000C798F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грн</w:t>
            </w:r>
            <w:proofErr w:type="spellEnd"/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C4690" w:rsidRPr="00B34D0B" w:rsidTr="000C798F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29400,00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90" w:rsidRPr="003F5884" w:rsidRDefault="006C4690" w:rsidP="000C798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2940</w:t>
            </w:r>
            <w:r w:rsidRPr="003F5884"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</w:tbl>
    <w:p w:rsidR="006C4690" w:rsidRDefault="006C4690" w:rsidP="006C469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60"/>
      </w:tblGrid>
      <w:tr w:rsidR="006C4690" w:rsidRPr="00206514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206514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06514">
              <w:rPr>
                <w:rFonts w:eastAsia="Calibri"/>
                <w:b/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206514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06514">
              <w:rPr>
                <w:rFonts w:eastAsia="Calibri"/>
                <w:b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206514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3F5884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3F5884"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3F5884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2940</w:t>
            </w:r>
            <w:r w:rsidRPr="003F5884"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29280</w:t>
            </w:r>
            <w:r w:rsidRPr="003F5884">
              <w:rPr>
                <w:rFonts w:eastAsia="Calibri"/>
                <w:b/>
                <w:sz w:val="24"/>
                <w:szCs w:val="24"/>
              </w:rPr>
              <w:t>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29280</w:t>
            </w:r>
            <w:r w:rsidRPr="003F5884">
              <w:rPr>
                <w:rFonts w:eastAsia="Calibri"/>
                <w:b/>
                <w:sz w:val="24"/>
                <w:szCs w:val="24"/>
              </w:rPr>
              <w:t>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376CB0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376CB0">
              <w:rPr>
                <w:rFonts w:eastAsia="Calibri"/>
                <w:sz w:val="24"/>
                <w:szCs w:val="24"/>
              </w:rPr>
              <w:t>29280,00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lastRenderedPageBreak/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6C4690" w:rsidRPr="00B34D0B" w:rsidTr="000C798F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690" w:rsidRPr="00B34D0B" w:rsidRDefault="006C4690" w:rsidP="000C798F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3F5884" w:rsidRDefault="006C4690" w:rsidP="000C798F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120</w:t>
            </w:r>
            <w:r w:rsidRPr="003F5884">
              <w:rPr>
                <w:rFonts w:eastAsia="Calibri"/>
                <w:b/>
                <w:sz w:val="24"/>
                <w:szCs w:val="24"/>
              </w:rPr>
              <w:t>,00</w:t>
            </w:r>
          </w:p>
        </w:tc>
      </w:tr>
      <w:tr w:rsidR="006C4690" w:rsidRPr="00B34D0B" w:rsidTr="000C798F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690" w:rsidRPr="00B34D0B" w:rsidRDefault="006C4690" w:rsidP="000C798F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90" w:rsidRPr="00B34D0B" w:rsidRDefault="006C4690" w:rsidP="000C798F">
            <w:pPr>
              <w:spacing w:after="0"/>
              <w:ind w:firstLine="0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</w:tbl>
    <w:p w:rsidR="006C4690" w:rsidRPr="00B34D0B" w:rsidRDefault="006C4690" w:rsidP="006C4690">
      <w:pPr>
        <w:spacing w:after="0"/>
        <w:ind w:firstLine="0"/>
        <w:jc w:val="right"/>
        <w:rPr>
          <w:rFonts w:eastAsia="Calibri"/>
          <w:sz w:val="24"/>
        </w:rPr>
      </w:pPr>
    </w:p>
    <w:p w:rsidR="006C4690" w:rsidRPr="00B34D0B" w:rsidRDefault="006C4690" w:rsidP="006C4690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</w:t>
      </w:r>
      <w:r>
        <w:rPr>
          <w:rFonts w:eastAsia="Calibri"/>
          <w:sz w:val="24"/>
        </w:rPr>
        <w:t xml:space="preserve"> 12</w:t>
      </w:r>
      <w:r w:rsidRPr="00B34D0B">
        <w:rPr>
          <w:rFonts w:eastAsia="Calibri"/>
          <w:sz w:val="24"/>
        </w:rPr>
        <w:t xml:space="preserve">" </w:t>
      </w:r>
      <w:r>
        <w:rPr>
          <w:rFonts w:eastAsia="Calibri"/>
          <w:sz w:val="24"/>
        </w:rPr>
        <w:t xml:space="preserve">липня 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</w:t>
      </w:r>
      <w:r>
        <w:rPr>
          <w:rFonts w:eastAsia="Calibri"/>
          <w:sz w:val="24"/>
        </w:rPr>
        <w:t xml:space="preserve">19 </w:t>
      </w:r>
      <w:r w:rsidRPr="00B34D0B">
        <w:rPr>
          <w:rFonts w:eastAsia="Calibri"/>
          <w:sz w:val="24"/>
        </w:rPr>
        <w:t xml:space="preserve"> року</w:t>
      </w:r>
    </w:p>
    <w:p w:rsidR="006C4690" w:rsidRPr="00B34D0B" w:rsidRDefault="006C4690" w:rsidP="006C4690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     ___________                  </w:t>
      </w:r>
      <w:r>
        <w:rPr>
          <w:rFonts w:eastAsia="Calibri"/>
          <w:color w:val="000000"/>
          <w:sz w:val="24"/>
          <w:szCs w:val="24"/>
          <w:u w:val="single"/>
        </w:rPr>
        <w:t xml:space="preserve">В.М. </w:t>
      </w:r>
      <w:proofErr w:type="spellStart"/>
      <w:r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>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 w:rsidRPr="002947B3">
        <w:rPr>
          <w:rFonts w:eastAsia="Calibri"/>
          <w:color w:val="000000"/>
          <w:sz w:val="18"/>
          <w:szCs w:val="18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6C4690" w:rsidRPr="00B34D0B" w:rsidRDefault="006C4690" w:rsidP="006C4690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6C4690" w:rsidRDefault="006C4690" w:rsidP="006C4690"/>
    <w:p w:rsidR="009C482B" w:rsidRDefault="009C482B"/>
    <w:sectPr w:rsidR="009C482B" w:rsidSect="009C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C4690"/>
    <w:rsid w:val="001523CB"/>
    <w:rsid w:val="00245474"/>
    <w:rsid w:val="0028461C"/>
    <w:rsid w:val="006C4690"/>
    <w:rsid w:val="009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90"/>
    <w:pPr>
      <w:spacing w:after="60"/>
      <w:ind w:firstLine="720"/>
      <w:jc w:val="both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28461C"/>
    <w:pPr>
      <w:keepNext/>
      <w:spacing w:before="24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461C"/>
    <w:rPr>
      <w:rFonts w:ascii="Arial" w:hAnsi="Arial" w:cs="Arial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1009</Words>
  <Characters>5754</Characters>
  <Application>Microsoft Office Word</Application>
  <DocSecurity>0</DocSecurity>
  <Lines>47</Lines>
  <Paragraphs>13</Paragraphs>
  <ScaleCrop>false</ScaleCrop>
  <Company>Krokoz™</Company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Viktor1</dc:creator>
  <cp:lastModifiedBy>Viktor1</cp:lastModifiedBy>
  <cp:revision>1</cp:revision>
  <dcterms:created xsi:type="dcterms:W3CDTF">2019-07-12T10:26:00Z</dcterms:created>
  <dcterms:modified xsi:type="dcterms:W3CDTF">2019-07-12T10:27:00Z</dcterms:modified>
</cp:coreProperties>
</file>