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2C40" w14:textId="1A2E2F1B" w:rsidR="00366F7F" w:rsidRPr="00B830DA" w:rsidRDefault="00F45E2E" w:rsidP="00B830DA">
      <w:pPr>
        <w:spacing w:line="240" w:lineRule="auto"/>
        <w:ind w:firstLine="567"/>
        <w:jc w:val="both"/>
        <w:rPr>
          <w:rFonts w:ascii="Times New Roman" w:eastAsia="Times New Roman" w:hAnsi="Times New Roman" w:cs="Times New Roman"/>
          <w:b/>
          <w:color w:val="000000"/>
          <w:sz w:val="24"/>
          <w:szCs w:val="24"/>
          <w:lang w:eastAsia="uk-UA" w:bidi="uk-UA"/>
        </w:rPr>
      </w:pPr>
      <w:r w:rsidRPr="001301D3">
        <w:rPr>
          <w:rFonts w:ascii="Times New Roman" w:eastAsia="Times New Roman" w:hAnsi="Times New Roman" w:cs="Times New Roman"/>
          <w:b/>
          <w:color w:val="000000"/>
          <w:sz w:val="24"/>
          <w:szCs w:val="24"/>
          <w:lang w:eastAsia="uk-UA" w:bidi="uk-UA"/>
        </w:rPr>
        <w:t>1.3.1.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45DC7375"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Існуючі визначення термінів, зокрема «потенційний конфлікт інтересів», «реальний конфлікт інтересів», </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приватний інтерес» не мають достатньої чіткості і однозначності.</w:t>
      </w:r>
    </w:p>
    <w:p w14:paraId="35463209"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Так, у визначенні термінів «потенційний конфлікт інтересів» та «реальний конфлікт інтересів» наявні такі елементи як </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приватний інтерес</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 xml:space="preserve"> та </w:t>
      </w:r>
      <w:r w:rsidR="0094540C"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службове/представницьке повноваження</w:t>
      </w:r>
      <w:r w:rsidR="0094540C"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 Окрім цього для констатації реального конфлікту інтересів необхідно ще встановити суперечність між приватним інтересом та службовими/представницькими повноваженнями.</w:t>
      </w:r>
    </w:p>
    <w:p w14:paraId="60FA57A3" w14:textId="77777777" w:rsidR="00F45E2E" w:rsidRPr="001301D3" w:rsidRDefault="001402BB"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Вживання у визначенні реального конфлікту інтересів такої ознаки як </w:t>
      </w:r>
      <w:r w:rsidRPr="001301D3">
        <w:rPr>
          <w:rFonts w:ascii="Times New Roman" w:eastAsia="Times New Roman" w:hAnsi="Times New Roman" w:cs="Times New Roman"/>
          <w:b/>
          <w:color w:val="000000"/>
          <w:sz w:val="24"/>
          <w:szCs w:val="24"/>
          <w:lang w:eastAsia="uk-UA" w:bidi="uk-UA"/>
        </w:rPr>
        <w:t>«суперечність»</w:t>
      </w:r>
      <w:r w:rsidRPr="001301D3">
        <w:rPr>
          <w:rFonts w:ascii="Times New Roman" w:eastAsia="Times New Roman" w:hAnsi="Times New Roman" w:cs="Times New Roman"/>
          <w:color w:val="000000"/>
          <w:sz w:val="24"/>
          <w:szCs w:val="24"/>
          <w:lang w:eastAsia="uk-UA" w:bidi="uk-UA"/>
        </w:rPr>
        <w:t xml:space="preserve">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w:t>
      </w:r>
      <w:r w:rsidR="00F45E2E" w:rsidRPr="001301D3">
        <w:rPr>
          <w:rFonts w:ascii="Times New Roman" w:eastAsia="Times New Roman" w:hAnsi="Times New Roman" w:cs="Times New Roman"/>
          <w:color w:val="000000"/>
          <w:sz w:val="24"/>
          <w:szCs w:val="24"/>
          <w:lang w:eastAsia="uk-UA" w:bidi="uk-UA"/>
        </w:rPr>
        <w:t>Насправді ж, основною небезпекою конфлікту інтересів як соціального і правового явища є те, що приватний інтерес перешкоджає неупередженому виконанню повноважень, а не у тому, що можуть існувати приватні інтереси, які суперечать службовим повноваженням.</w:t>
      </w:r>
    </w:p>
    <w:p w14:paraId="7F00F648"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Саме недоведеність наявності суперечності між приватним інтересом та службовим повноваженням є визначальним для судів під час вирішення питання порушення вимог Закону України «Про запобігання корупції» щодо запобігання та врегулювання конфлікту інтересів,</w:t>
      </w:r>
      <w:r w:rsidRPr="001301D3">
        <w:rPr>
          <w:rFonts w:ascii="Times New Roman" w:eastAsia="Calibri" w:hAnsi="Times New Roman" w:cs="Times New Roman"/>
          <w:sz w:val="24"/>
          <w:szCs w:val="24"/>
        </w:rPr>
        <w:t xml:space="preserve"> а тому </w:t>
      </w:r>
      <w:r w:rsidRPr="001301D3">
        <w:rPr>
          <w:rFonts w:ascii="Times New Roman" w:eastAsia="Times New Roman" w:hAnsi="Times New Roman" w:cs="Times New Roman"/>
          <w:color w:val="000000"/>
          <w:sz w:val="24"/>
          <w:szCs w:val="24"/>
          <w:lang w:eastAsia="uk-UA" w:bidi="uk-UA"/>
        </w:rPr>
        <w:t>створює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w:t>
      </w:r>
    </w:p>
    <w:p w14:paraId="62F521D7" w14:textId="77777777" w:rsidR="00F45E2E" w:rsidRPr="001301D3" w:rsidRDefault="00F45E2E" w:rsidP="00F45E2E">
      <w:pPr>
        <w:widowControl w:val="0"/>
        <w:tabs>
          <w:tab w:val="left" w:pos="1274"/>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Певних уточнень потребує і визначення «приватний інтерес», оскільки наведене у Законі України «Про запобігання корупції» визначення не дає чіткого розуміння щодо того, у чому він може полягати. Це зумовлює ситуації, коли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або навпаки. </w:t>
      </w:r>
    </w:p>
    <w:p w14:paraId="71200E58" w14:textId="77777777" w:rsidR="00F45E2E" w:rsidRPr="001301D3" w:rsidRDefault="001402BB"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Н</w:t>
      </w:r>
      <w:r w:rsidR="00F45E2E" w:rsidRPr="001301D3">
        <w:rPr>
          <w:rFonts w:ascii="Times New Roman" w:eastAsia="Times New Roman" w:hAnsi="Times New Roman" w:cs="Times New Roman"/>
          <w:color w:val="000000"/>
          <w:sz w:val="24"/>
          <w:szCs w:val="24"/>
          <w:lang w:eastAsia="uk-UA" w:bidi="uk-UA"/>
        </w:rPr>
        <w:t xml:space="preserve">аведені у розділі </w:t>
      </w:r>
      <w:r w:rsidR="00F45E2E" w:rsidRPr="00010E5B">
        <w:rPr>
          <w:rFonts w:ascii="Times New Roman" w:eastAsia="Times New Roman" w:hAnsi="Times New Roman" w:cs="Times New Roman"/>
          <w:color w:val="000000"/>
          <w:sz w:val="24"/>
          <w:szCs w:val="24"/>
          <w:lang w:eastAsia="uk-UA" w:bidi="uk-UA"/>
        </w:rPr>
        <w:t>V</w:t>
      </w:r>
      <w:r w:rsidR="00F45E2E" w:rsidRPr="001301D3">
        <w:rPr>
          <w:rFonts w:ascii="Times New Roman" w:eastAsia="Times New Roman" w:hAnsi="Times New Roman" w:cs="Times New Roman"/>
          <w:color w:val="000000"/>
          <w:sz w:val="24"/>
          <w:szCs w:val="24"/>
          <w:lang w:eastAsia="uk-UA" w:bidi="uk-UA"/>
        </w:rPr>
        <w:t xml:space="preserve"> Закону України </w:t>
      </w:r>
      <w:r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Про запобігання корупції</w:t>
      </w:r>
      <w:r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 xml:space="preserve"> правила щодо врегулювання конфлікту інтересів є недостатніми для забезпечення врегулювання конфлікту інтересів</w:t>
      </w:r>
      <w:r w:rsidR="001301D3"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 xml:space="preserve"> відсутній алгоритм дій безпосереднього керівника у разі відсутності у нього повноважень для застосування того чи іншого способу зовнішнього врегулювання конфлікту інтересів у підлеглої особи (наприклад, переведення та звільнення),</w:t>
      </w:r>
      <w:r w:rsidR="00F45E2E" w:rsidRPr="001301D3">
        <w:rPr>
          <w:rFonts w:ascii="Times New Roman" w:eastAsia="Calibri" w:hAnsi="Times New Roman" w:cs="Times New Roman"/>
          <w:sz w:val="24"/>
          <w:szCs w:val="24"/>
        </w:rPr>
        <w:t xml:space="preserve"> </w:t>
      </w:r>
      <w:r w:rsidR="00F45E2E" w:rsidRPr="001301D3">
        <w:rPr>
          <w:rFonts w:ascii="Times New Roman" w:eastAsia="Times New Roman" w:hAnsi="Times New Roman" w:cs="Times New Roman"/>
          <w:color w:val="000000"/>
          <w:sz w:val="24"/>
          <w:szCs w:val="24"/>
          <w:lang w:eastAsia="uk-UA" w:bidi="uk-UA"/>
        </w:rPr>
        <w:t>існує неузгодженість норм Закону України «Про запобігання корупції» щодо строків повідомлення про конфлікт інтересів та строків самостійного його врегулювання, не встановлено адміністративну відповідальність керівників за невжиття ними заходів щодо врегулювання конфлікту інтересів у підлеглих, відсутні вимоги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75D32C9E" w14:textId="77777777" w:rsidR="00F45E2E" w:rsidRPr="00010E5B" w:rsidRDefault="001402BB" w:rsidP="00F45E2E">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Попри</w:t>
      </w:r>
      <w:r w:rsidR="00F45E2E" w:rsidRPr="001301D3">
        <w:rPr>
          <w:rFonts w:ascii="Times New Roman" w:eastAsia="Times New Roman" w:hAnsi="Times New Roman" w:cs="Times New Roman"/>
          <w:color w:val="000000"/>
          <w:sz w:val="24"/>
          <w:szCs w:val="24"/>
          <w:lang w:eastAsia="uk-UA" w:bidi="uk-UA"/>
        </w:rPr>
        <w:t xml:space="preserve"> зміни, яких зазнавали правила передачі в управління підприємств та корпоративних прав, певні недоліки мають місце, а саме: </w:t>
      </w:r>
      <w:r w:rsidR="00F45E2E" w:rsidRPr="00010E5B">
        <w:rPr>
          <w:rFonts w:ascii="Times New Roman" w:eastAsia="Times New Roman" w:hAnsi="Times New Roman" w:cs="Times New Roman"/>
          <w:color w:val="000000"/>
          <w:sz w:val="24"/>
          <w:szCs w:val="24"/>
          <w:lang w:eastAsia="uk-UA" w:bidi="uk-UA"/>
        </w:rPr>
        <w:t xml:space="preserve">відсутність обов’язку передавати в управління підприємства та корпоративні прав, які набуваються після призначення (обрання) на посаду; можливість передавати в управління належні суб’єкту підприємства та корпоративні права близьким особам;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відсутність заборони на прийняття рішень чи вчинення дій стосовно юридичних осіб, які належать особі, або у яких в особи наявні корпоративні права. </w:t>
      </w:r>
    </w:p>
    <w:p w14:paraId="4163A3E8"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lastRenderedPageBreak/>
        <w:t>Визнаючи підвищення ефективності здійснюваного НАЗК моніторингу та контролю за виконанням актів законодавства з питань етичної поведінки, запобігання та врегулювання конфлікту інтересів у діяльності публічних службовців, який до перезавантаження НАЗК у 2020 році здійснювався з обмеженим інструментарієм та здебільшого на підставі повідомлень про корупційні та пов’язані з корупцією правопорушення, варто виділити окремі організаційні та нормативні проблеми, які все ще існують та перешкоджають його більш високій ефективності (неточність та або некоректність формулювання відповідного повноваження та прав НАЗК (вживання у змісті повноваження одночасно слів «моніторинг» і «контроль», які є різними за своїм змістом), неузгодженість положень Закону України «Про запобігання корупції» з нормами інших законів, що унеможливлює отримання певних видів інформації з обмеженим доступом, відсутність системи ранжування та аналізу інформації, що міститься в інформаційно-технічній системі Реєстр декларацій,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p w14:paraId="797B0C6B" w14:textId="77777777" w:rsidR="00E95B48" w:rsidRPr="001301D3" w:rsidRDefault="00E95B48" w:rsidP="00E95B48">
      <w:pPr>
        <w:widowControl w:val="0"/>
        <w:tabs>
          <w:tab w:val="left" w:pos="1274"/>
        </w:tabs>
        <w:spacing w:after="0" w:line="240" w:lineRule="auto"/>
        <w:ind w:right="-173"/>
        <w:jc w:val="both"/>
        <w:rPr>
          <w:rFonts w:ascii="Times New Roman" w:eastAsia="Times New Roman" w:hAnsi="Times New Roman" w:cs="Times New Roman"/>
          <w:color w:val="000000"/>
          <w:sz w:val="24"/>
          <w:szCs w:val="24"/>
          <w:lang w:eastAsia="uk-UA" w:bidi="uk-UA"/>
        </w:rPr>
      </w:pPr>
    </w:p>
    <w:tbl>
      <w:tblPr>
        <w:tblStyle w:val="a3"/>
        <w:tblW w:w="14879" w:type="dxa"/>
        <w:jc w:val="center"/>
        <w:tblLayout w:type="fixed"/>
        <w:tblLook w:val="04A0" w:firstRow="1" w:lastRow="0" w:firstColumn="1" w:lastColumn="0" w:noHBand="0" w:noVBand="1"/>
      </w:tblPr>
      <w:tblGrid>
        <w:gridCol w:w="2628"/>
        <w:gridCol w:w="8424"/>
        <w:gridCol w:w="1134"/>
        <w:gridCol w:w="1419"/>
        <w:gridCol w:w="1274"/>
      </w:tblGrid>
      <w:tr w:rsidR="00B17B49" w:rsidRPr="00B17B49" w14:paraId="3E91C35A" w14:textId="77777777" w:rsidTr="00010E5B">
        <w:trPr>
          <w:jc w:val="center"/>
        </w:trPr>
        <w:tc>
          <w:tcPr>
            <w:tcW w:w="2628" w:type="dxa"/>
            <w:tcBorders>
              <w:top w:val="single" w:sz="4" w:space="0" w:color="auto"/>
            </w:tcBorders>
            <w:shd w:val="clear" w:color="auto" w:fill="E2EFD9"/>
            <w:vAlign w:val="center"/>
          </w:tcPr>
          <w:p w14:paraId="009860CF" w14:textId="77777777" w:rsidR="00E95B48" w:rsidRPr="00B17B49" w:rsidRDefault="00E95B48">
            <w:pPr>
              <w:widowControl w:val="0"/>
              <w:tabs>
                <w:tab w:val="left" w:pos="1274"/>
              </w:tabs>
              <w:ind w:right="-104"/>
              <w:jc w:val="center"/>
              <w:rPr>
                <w:rFonts w:ascii="Times New Roman" w:eastAsia="Times New Roman" w:hAnsi="Times New Roman" w:cs="Times New Roman"/>
                <w:b/>
                <w:color w:val="000000"/>
                <w:sz w:val="24"/>
                <w:szCs w:val="24"/>
                <w:lang w:eastAsia="uk-UA" w:bidi="uk-UA"/>
              </w:rPr>
            </w:pPr>
            <w:bookmarkStart w:id="0" w:name="_Hlk112656960"/>
            <w:r w:rsidRPr="00B17B49">
              <w:rPr>
                <w:rFonts w:ascii="Times New Roman" w:eastAsia="Times New Roman" w:hAnsi="Times New Roman" w:cs="Times New Roman"/>
                <w:b/>
                <w:color w:val="000000"/>
                <w:sz w:val="24"/>
                <w:szCs w:val="24"/>
                <w:lang w:eastAsia="uk-UA" w:bidi="uk-UA"/>
              </w:rPr>
              <w:t>Очікуваний</w:t>
            </w:r>
          </w:p>
          <w:p w14:paraId="70C68318" w14:textId="77777777" w:rsidR="00E95B48" w:rsidRPr="00B17B49" w:rsidRDefault="00E95B48">
            <w:pPr>
              <w:widowControl w:val="0"/>
              <w:tabs>
                <w:tab w:val="left" w:pos="1274"/>
              </w:tabs>
              <w:ind w:right="-104"/>
              <w:jc w:val="center"/>
              <w:rPr>
                <w:rFonts w:ascii="Times New Roman" w:eastAsia="Times New Roman" w:hAnsi="Times New Roman" w:cs="Times New Roman"/>
                <w:color w:val="000000"/>
                <w:sz w:val="24"/>
                <w:szCs w:val="24"/>
                <w:lang w:eastAsia="uk-UA" w:bidi="uk-UA"/>
              </w:rPr>
            </w:pPr>
            <w:r w:rsidRPr="00B17B49">
              <w:rPr>
                <w:rFonts w:ascii="Times New Roman" w:eastAsia="Times New Roman" w:hAnsi="Times New Roman" w:cs="Times New Roman"/>
                <w:b/>
                <w:color w:val="000000"/>
                <w:sz w:val="24"/>
                <w:szCs w:val="24"/>
                <w:lang w:eastAsia="uk-UA" w:bidi="uk-UA"/>
              </w:rPr>
              <w:t>стратегічний результат</w:t>
            </w:r>
          </w:p>
        </w:tc>
        <w:tc>
          <w:tcPr>
            <w:tcW w:w="8424" w:type="dxa"/>
            <w:tcBorders>
              <w:top w:val="single" w:sz="4" w:space="0" w:color="auto"/>
            </w:tcBorders>
            <w:shd w:val="clear" w:color="auto" w:fill="E2EFD9"/>
            <w:vAlign w:val="center"/>
          </w:tcPr>
          <w:p w14:paraId="0AA01BC5" w14:textId="77777777" w:rsidR="00E95B48" w:rsidRPr="00B17B49" w:rsidRDefault="00E95B48" w:rsidP="00E95B48">
            <w:pPr>
              <w:widowControl w:val="0"/>
              <w:tabs>
                <w:tab w:val="left" w:pos="1274"/>
              </w:tabs>
              <w:ind w:right="26"/>
              <w:jc w:val="center"/>
              <w:rPr>
                <w:rFonts w:ascii="Times New Roman" w:eastAsia="Times New Roman" w:hAnsi="Times New Roman" w:cs="Times New Roman"/>
                <w:color w:val="000000"/>
                <w:sz w:val="24"/>
                <w:szCs w:val="24"/>
                <w:lang w:eastAsia="uk-UA" w:bidi="uk-UA"/>
              </w:rPr>
            </w:pPr>
            <w:r w:rsidRPr="00B17B49">
              <w:rPr>
                <w:rFonts w:ascii="Times New Roman" w:eastAsia="Times New Roman" w:hAnsi="Times New Roman" w:cs="Times New Roman"/>
                <w:b/>
                <w:sz w:val="24"/>
                <w:szCs w:val="24"/>
              </w:rPr>
              <w:t>Показник (індикатор) досягнення</w:t>
            </w:r>
          </w:p>
        </w:tc>
        <w:tc>
          <w:tcPr>
            <w:tcW w:w="1134" w:type="dxa"/>
            <w:tcBorders>
              <w:top w:val="single" w:sz="4" w:space="0" w:color="auto"/>
            </w:tcBorders>
            <w:shd w:val="clear" w:color="auto" w:fill="E2EFD9"/>
            <w:vAlign w:val="center"/>
          </w:tcPr>
          <w:p w14:paraId="3B5610BC" w14:textId="77777777" w:rsidR="00E95B48" w:rsidRPr="00B17B49" w:rsidRDefault="00E95B48" w:rsidP="00E95B48">
            <w:pPr>
              <w:jc w:val="center"/>
              <w:rPr>
                <w:rFonts w:ascii="Times New Roman" w:eastAsia="Times New Roman" w:hAnsi="Times New Roman" w:cs="Times New Roman"/>
                <w:b/>
                <w:sz w:val="24"/>
                <w:szCs w:val="24"/>
              </w:rPr>
            </w:pPr>
            <w:r w:rsidRPr="00B17B49">
              <w:rPr>
                <w:rFonts w:ascii="Times New Roman" w:eastAsia="Times New Roman" w:hAnsi="Times New Roman" w:cs="Times New Roman"/>
                <w:b/>
                <w:sz w:val="24"/>
                <w:szCs w:val="24"/>
              </w:rPr>
              <w:t>Частка</w:t>
            </w:r>
          </w:p>
          <w:p w14:paraId="6FCCD0AA" w14:textId="77777777" w:rsidR="00E95B48" w:rsidRPr="00B17B49" w:rsidRDefault="00E95B48" w:rsidP="00E95B48">
            <w:pPr>
              <w:jc w:val="center"/>
              <w:rPr>
                <w:rFonts w:ascii="Times New Roman" w:eastAsia="Times New Roman" w:hAnsi="Times New Roman" w:cs="Times New Roman"/>
                <w:b/>
                <w:sz w:val="24"/>
                <w:szCs w:val="24"/>
                <w:highlight w:val="yellow"/>
              </w:rPr>
            </w:pPr>
            <w:r w:rsidRPr="00B17B49">
              <w:rPr>
                <w:rFonts w:ascii="Times New Roman" w:eastAsia="Times New Roman" w:hAnsi="Times New Roman" w:cs="Times New Roman"/>
                <w:b/>
                <w:sz w:val="24"/>
                <w:szCs w:val="24"/>
              </w:rPr>
              <w:t>(у %)</w:t>
            </w:r>
          </w:p>
        </w:tc>
        <w:tc>
          <w:tcPr>
            <w:tcW w:w="1419" w:type="dxa"/>
            <w:tcBorders>
              <w:top w:val="single" w:sz="4" w:space="0" w:color="auto"/>
            </w:tcBorders>
            <w:shd w:val="clear" w:color="auto" w:fill="E2EFD9"/>
            <w:vAlign w:val="center"/>
          </w:tcPr>
          <w:p w14:paraId="1F6DF7D4" w14:textId="77777777" w:rsidR="00E95B48" w:rsidRPr="00B17B49" w:rsidRDefault="00E95B48" w:rsidP="00E95B48">
            <w:pPr>
              <w:jc w:val="center"/>
              <w:rPr>
                <w:rFonts w:ascii="Times New Roman" w:eastAsia="Times New Roman" w:hAnsi="Times New Roman" w:cs="Times New Roman"/>
                <w:b/>
                <w:sz w:val="24"/>
                <w:szCs w:val="24"/>
                <w:highlight w:val="yellow"/>
              </w:rPr>
            </w:pPr>
            <w:r w:rsidRPr="00B17B49">
              <w:rPr>
                <w:rFonts w:ascii="Times New Roman" w:eastAsia="Times New Roman" w:hAnsi="Times New Roman" w:cs="Times New Roman"/>
                <w:b/>
                <w:sz w:val="24"/>
                <w:szCs w:val="24"/>
              </w:rPr>
              <w:t>Джерело даних</w:t>
            </w:r>
          </w:p>
        </w:tc>
        <w:tc>
          <w:tcPr>
            <w:tcW w:w="1274" w:type="dxa"/>
            <w:tcBorders>
              <w:top w:val="single" w:sz="4" w:space="0" w:color="auto"/>
              <w:left w:val="single" w:sz="4" w:space="0" w:color="auto"/>
              <w:right w:val="single" w:sz="4" w:space="0" w:color="auto"/>
            </w:tcBorders>
            <w:shd w:val="clear" w:color="auto" w:fill="E2EFD9"/>
            <w:vAlign w:val="center"/>
          </w:tcPr>
          <w:p w14:paraId="58C95369" w14:textId="77777777" w:rsidR="00E95B48" w:rsidRPr="00B17B49" w:rsidRDefault="00E95B48" w:rsidP="00E95B48">
            <w:pPr>
              <w:jc w:val="center"/>
              <w:rPr>
                <w:rFonts w:ascii="Times New Roman" w:eastAsia="Times New Roman" w:hAnsi="Times New Roman" w:cs="Times New Roman"/>
                <w:b/>
                <w:sz w:val="24"/>
                <w:szCs w:val="24"/>
              </w:rPr>
            </w:pPr>
            <w:r w:rsidRPr="00B17B49">
              <w:rPr>
                <w:rFonts w:ascii="Times New Roman" w:eastAsia="Times New Roman" w:hAnsi="Times New Roman" w:cs="Times New Roman"/>
                <w:b/>
                <w:sz w:val="24"/>
                <w:szCs w:val="24"/>
              </w:rPr>
              <w:t>Базовий показник</w:t>
            </w:r>
          </w:p>
        </w:tc>
      </w:tr>
      <w:tr w:rsidR="00B17B49" w:rsidRPr="00B17B49" w14:paraId="00835A3F" w14:textId="77777777" w:rsidTr="00010E5B">
        <w:trPr>
          <w:jc w:val="center"/>
        </w:trPr>
        <w:tc>
          <w:tcPr>
            <w:tcW w:w="2628" w:type="dxa"/>
            <w:vMerge w:val="restart"/>
          </w:tcPr>
          <w:p w14:paraId="79003639" w14:textId="3463F922" w:rsidR="00E95B48" w:rsidRPr="00010E5B" w:rsidRDefault="00F45E2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.3.1.1.</w:t>
            </w:r>
            <w:r w:rsidR="00E95B48" w:rsidRPr="00010E5B">
              <w:rPr>
                <w:rFonts w:ascii="Times New Roman" w:eastAsia="Times New Roman" w:hAnsi="Times New Roman" w:cs="Times New Roman"/>
                <w:color w:val="000000"/>
                <w:sz w:val="20"/>
                <w:szCs w:val="20"/>
                <w:lang w:eastAsia="uk-UA" w:bidi="uk-UA"/>
              </w:rPr>
              <w:t> Уточнено законодавчі визначення понять "реальний конфлікт інтересів", "потенційний конфлікт інтересів", "приватний інтерес" у напрямі спрощення їх розуміння і застосування</w:t>
            </w:r>
          </w:p>
        </w:tc>
        <w:tc>
          <w:tcPr>
            <w:tcW w:w="8424" w:type="dxa"/>
          </w:tcPr>
          <w:p w14:paraId="182D2371" w14:textId="66A36227" w:rsidR="00E95B48" w:rsidRPr="00010E5B" w:rsidRDefault="00653E44"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653E44">
              <w:rPr>
                <w:rFonts w:ascii="Times New Roman" w:eastAsia="Times New Roman" w:hAnsi="Times New Roman" w:cs="Times New Roman"/>
                <w:b/>
                <w:color w:val="000000"/>
                <w:sz w:val="20"/>
                <w:szCs w:val="20"/>
                <w:lang w:val="ru-RU" w:eastAsia="uk-UA" w:bidi="uk-UA"/>
              </w:rPr>
              <w:t>1</w:t>
            </w:r>
            <w:r w:rsidR="00BE3795" w:rsidRPr="00010E5B">
              <w:rPr>
                <w:rFonts w:ascii="Times New Roman" w:eastAsia="Times New Roman" w:hAnsi="Times New Roman" w:cs="Times New Roman"/>
                <w:b/>
                <w:color w:val="000000"/>
                <w:sz w:val="20"/>
                <w:szCs w:val="20"/>
                <w:lang w:eastAsia="uk-UA" w:bidi="uk-UA"/>
              </w:rPr>
              <w:t>.</w:t>
            </w:r>
            <w:r w:rsidR="00BE3795"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16B56DE9" w14:textId="3774071F" w:rsidR="00E95B48" w:rsidRPr="00010E5B" w:rsidRDefault="0000041D"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BE3795" w:rsidRPr="00010E5B">
              <w:rPr>
                <w:rFonts w:ascii="Times New Roman" w:eastAsia="Times New Roman" w:hAnsi="Times New Roman" w:cs="Times New Roman"/>
                <w:color w:val="000000"/>
                <w:sz w:val="16"/>
                <w:szCs w:val="16"/>
                <w:lang w:eastAsia="uk-UA" w:bidi="uk-UA"/>
              </w:rPr>
              <w:t>з</w:t>
            </w:r>
            <w:r w:rsidR="00E95B48" w:rsidRPr="00010E5B">
              <w:rPr>
                <w:rFonts w:ascii="Times New Roman" w:eastAsia="Times New Roman" w:hAnsi="Times New Roman" w:cs="Times New Roman"/>
                <w:color w:val="000000"/>
                <w:sz w:val="16"/>
                <w:szCs w:val="16"/>
                <w:lang w:eastAsia="uk-UA" w:bidi="uk-UA"/>
              </w:rPr>
              <w:t>апровад</w:t>
            </w:r>
            <w:r w:rsidR="002C122C" w:rsidRPr="00010E5B">
              <w:rPr>
                <w:rFonts w:ascii="Times New Roman" w:eastAsia="Times New Roman" w:hAnsi="Times New Roman" w:cs="Times New Roman"/>
                <w:color w:val="000000"/>
                <w:sz w:val="16"/>
                <w:szCs w:val="16"/>
                <w:lang w:eastAsia="uk-UA" w:bidi="uk-UA"/>
              </w:rPr>
              <w:t>жено</w:t>
            </w:r>
            <w:r w:rsidR="00E95B48" w:rsidRPr="00010E5B">
              <w:rPr>
                <w:rFonts w:ascii="Times New Roman" w:eastAsia="Times New Roman" w:hAnsi="Times New Roman" w:cs="Times New Roman"/>
                <w:color w:val="000000"/>
                <w:sz w:val="16"/>
                <w:szCs w:val="16"/>
                <w:lang w:eastAsia="uk-UA" w:bidi="uk-UA"/>
              </w:rPr>
              <w:t xml:space="preserve"> новий підхід до визначення термінів «потенційний конфлікт інтересів» та «реальний конфлікт інтересів», який дає змогу чітко їх розмежувати</w:t>
            </w:r>
            <w:r w:rsidR="00B17B49" w:rsidRPr="00010E5B">
              <w:rPr>
                <w:rFonts w:ascii="Times New Roman" w:eastAsia="Times New Roman" w:hAnsi="Times New Roman" w:cs="Times New Roman"/>
                <w:color w:val="000000"/>
                <w:sz w:val="16"/>
                <w:szCs w:val="16"/>
                <w:lang w:eastAsia="uk-UA" w:bidi="uk-UA"/>
              </w:rPr>
              <w:t xml:space="preserve"> (серед іншого, виключ</w:t>
            </w:r>
            <w:r w:rsidR="00DF0FE2">
              <w:rPr>
                <w:rFonts w:ascii="Times New Roman" w:eastAsia="Times New Roman" w:hAnsi="Times New Roman" w:cs="Times New Roman"/>
                <w:color w:val="000000"/>
                <w:sz w:val="16"/>
                <w:szCs w:val="16"/>
                <w:lang w:eastAsia="uk-UA" w:bidi="uk-UA"/>
              </w:rPr>
              <w:t>ено</w:t>
            </w:r>
            <w:r w:rsidR="00B17B49" w:rsidRPr="00010E5B">
              <w:rPr>
                <w:rFonts w:ascii="Times New Roman" w:eastAsia="Times New Roman" w:hAnsi="Times New Roman" w:cs="Times New Roman"/>
                <w:color w:val="000000"/>
                <w:sz w:val="16"/>
                <w:szCs w:val="16"/>
                <w:lang w:eastAsia="uk-UA" w:bidi="uk-UA"/>
              </w:rPr>
              <w:t xml:space="preserve"> ознаку </w:t>
            </w:r>
            <w:r w:rsidR="00BE3795" w:rsidRPr="00010E5B">
              <w:rPr>
                <w:rFonts w:ascii="Times New Roman" w:eastAsia="Times New Roman" w:hAnsi="Times New Roman" w:cs="Times New Roman"/>
                <w:color w:val="000000"/>
                <w:sz w:val="16"/>
                <w:szCs w:val="16"/>
                <w:lang w:eastAsia="uk-UA" w:bidi="uk-UA"/>
              </w:rPr>
              <w:t>суперечн</w:t>
            </w:r>
            <w:r w:rsidR="00B17B49" w:rsidRPr="00010E5B">
              <w:rPr>
                <w:rFonts w:ascii="Times New Roman" w:eastAsia="Times New Roman" w:hAnsi="Times New Roman" w:cs="Times New Roman"/>
                <w:color w:val="000000"/>
                <w:sz w:val="16"/>
                <w:szCs w:val="16"/>
                <w:lang w:eastAsia="uk-UA" w:bidi="uk-UA"/>
              </w:rPr>
              <w:t>о</w:t>
            </w:r>
            <w:r w:rsidR="00BE3795" w:rsidRPr="00010E5B">
              <w:rPr>
                <w:rFonts w:ascii="Times New Roman" w:eastAsia="Times New Roman" w:hAnsi="Times New Roman" w:cs="Times New Roman"/>
                <w:color w:val="000000"/>
                <w:sz w:val="16"/>
                <w:szCs w:val="16"/>
                <w:lang w:eastAsia="uk-UA" w:bidi="uk-UA"/>
              </w:rPr>
              <w:t>ст</w:t>
            </w:r>
            <w:r w:rsidR="00B17B49" w:rsidRPr="00010E5B">
              <w:rPr>
                <w:rFonts w:ascii="Times New Roman" w:eastAsia="Times New Roman" w:hAnsi="Times New Roman" w:cs="Times New Roman"/>
                <w:color w:val="000000"/>
                <w:sz w:val="16"/>
                <w:szCs w:val="16"/>
                <w:lang w:eastAsia="uk-UA" w:bidi="uk-UA"/>
              </w:rPr>
              <w:t>і між приватним інтересом і службовими повноваженнями</w:t>
            </w:r>
            <w:r w:rsidR="00BE3795" w:rsidRPr="00010E5B">
              <w:rPr>
                <w:rFonts w:ascii="Times New Roman" w:eastAsia="Times New Roman" w:hAnsi="Times New Roman" w:cs="Times New Roman"/>
                <w:color w:val="000000"/>
                <w:sz w:val="16"/>
                <w:szCs w:val="16"/>
                <w:lang w:eastAsia="uk-UA" w:bidi="uk-UA"/>
              </w:rPr>
              <w:t>)</w:t>
            </w:r>
            <w:r w:rsidR="00E95B48" w:rsidRPr="00010E5B">
              <w:rPr>
                <w:rFonts w:ascii="Times New Roman" w:eastAsia="Times New Roman" w:hAnsi="Times New Roman" w:cs="Times New Roman"/>
                <w:color w:val="000000"/>
                <w:sz w:val="16"/>
                <w:szCs w:val="16"/>
                <w:lang w:eastAsia="uk-UA" w:bidi="uk-UA"/>
              </w:rPr>
              <w:t xml:space="preserve"> </w:t>
            </w:r>
            <w:r w:rsidR="00F262F5" w:rsidRPr="00010E5B">
              <w:rPr>
                <w:rFonts w:ascii="Times New Roman" w:eastAsia="Times New Roman" w:hAnsi="Times New Roman" w:cs="Times New Roman"/>
                <w:color w:val="000000"/>
                <w:sz w:val="16"/>
                <w:szCs w:val="16"/>
                <w:lang w:eastAsia="uk-UA" w:bidi="uk-UA"/>
              </w:rPr>
              <w:t>(70%)</w:t>
            </w:r>
            <w:r w:rsidR="00BE3795" w:rsidRPr="00010E5B">
              <w:rPr>
                <w:rFonts w:ascii="Times New Roman" w:eastAsia="Times New Roman" w:hAnsi="Times New Roman" w:cs="Times New Roman"/>
                <w:color w:val="000000"/>
                <w:sz w:val="16"/>
                <w:szCs w:val="16"/>
                <w:lang w:eastAsia="uk-UA" w:bidi="uk-UA"/>
              </w:rPr>
              <w:t>;</w:t>
            </w:r>
          </w:p>
          <w:p w14:paraId="49463E8A" w14:textId="77777777" w:rsidR="00BE3795" w:rsidRPr="00010E5B" w:rsidRDefault="0000041D"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256BEA" w:rsidRPr="00010E5B">
              <w:rPr>
                <w:rFonts w:ascii="Times New Roman" w:eastAsia="Times New Roman" w:hAnsi="Times New Roman" w:cs="Times New Roman"/>
                <w:color w:val="000000"/>
                <w:sz w:val="16"/>
                <w:szCs w:val="16"/>
                <w:lang w:eastAsia="uk-UA" w:bidi="uk-UA"/>
              </w:rPr>
              <w:t xml:space="preserve">удосконалено поняття «приватний інтерес», зокрема надано чіткості визначенню вказаного поняття </w:t>
            </w:r>
            <w:r w:rsidR="00F262F5" w:rsidRPr="00010E5B">
              <w:rPr>
                <w:rFonts w:ascii="Times New Roman" w:eastAsia="Times New Roman" w:hAnsi="Times New Roman" w:cs="Times New Roman"/>
                <w:color w:val="000000"/>
                <w:sz w:val="16"/>
                <w:szCs w:val="16"/>
                <w:lang w:eastAsia="uk-UA" w:bidi="uk-UA"/>
              </w:rPr>
              <w:t>(20%)</w:t>
            </w:r>
          </w:p>
        </w:tc>
        <w:tc>
          <w:tcPr>
            <w:tcW w:w="1134" w:type="dxa"/>
          </w:tcPr>
          <w:p w14:paraId="5098E990" w14:textId="7941F02C" w:rsidR="00B7272A" w:rsidRPr="00010E5B" w:rsidRDefault="00F262F5">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w:t>
            </w:r>
            <w:r w:rsidR="00B7272A" w:rsidRPr="00010E5B">
              <w:rPr>
                <w:rFonts w:ascii="Times New Roman" w:eastAsia="Times New Roman" w:hAnsi="Times New Roman" w:cs="Times New Roman"/>
                <w:color w:val="000000"/>
                <w:sz w:val="16"/>
                <w:szCs w:val="16"/>
                <w:lang w:eastAsia="uk-UA" w:bidi="uk-UA"/>
              </w:rPr>
              <w:t>0</w:t>
            </w:r>
          </w:p>
        </w:tc>
        <w:tc>
          <w:tcPr>
            <w:tcW w:w="1419" w:type="dxa"/>
          </w:tcPr>
          <w:p w14:paraId="15452357" w14:textId="77777777" w:rsidR="00E95B48" w:rsidRPr="00010E5B" w:rsidRDefault="00E95B48" w:rsidP="009F677D">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186974E8" w14:textId="77777777" w:rsidR="00E95B48" w:rsidRPr="00010E5B" w:rsidRDefault="00E95B48" w:rsidP="009F677D">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20B6B9E1"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1D05BF29"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9EE856F" w14:textId="77777777" w:rsidTr="00010E5B">
        <w:trPr>
          <w:jc w:val="center"/>
        </w:trPr>
        <w:tc>
          <w:tcPr>
            <w:tcW w:w="2628" w:type="dxa"/>
            <w:vMerge/>
          </w:tcPr>
          <w:p w14:paraId="4A29C7E7"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FE6B86B" w14:textId="0C5889B8"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Pr="00010E5B">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113DBB76" w14:textId="474E53C6"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084D6880" w14:textId="4B041E12"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00C04E73"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1CAEA6AE" w14:textId="57A1E5D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00C04E73"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733D332E"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0DE160FA"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1A5214A4"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400F4138" w14:textId="77777777" w:rsidTr="00010E5B">
        <w:trPr>
          <w:trHeight w:val="2484"/>
          <w:jc w:val="center"/>
        </w:trPr>
        <w:tc>
          <w:tcPr>
            <w:tcW w:w="2628" w:type="dxa"/>
            <w:vMerge w:val="restart"/>
          </w:tcPr>
          <w:p w14:paraId="2E81D375" w14:textId="77ED0762" w:rsidR="00E95B48" w:rsidRPr="00010E5B" w:rsidRDefault="0000706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.3.1.2. </w:t>
            </w:r>
            <w:r w:rsidR="00E95B48" w:rsidRPr="00010E5B">
              <w:rPr>
                <w:rFonts w:ascii="Times New Roman" w:eastAsia="Times New Roman" w:hAnsi="Times New Roman" w:cs="Times New Roman"/>
                <w:color w:val="000000"/>
                <w:sz w:val="20"/>
                <w:szCs w:val="20"/>
                <w:lang w:eastAsia="uk-UA" w:bidi="uk-UA"/>
              </w:rPr>
              <w:t>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tc>
        <w:tc>
          <w:tcPr>
            <w:tcW w:w="8424" w:type="dxa"/>
          </w:tcPr>
          <w:p w14:paraId="459A0B11" w14:textId="3987B1CC" w:rsidR="00E95B48" w:rsidRPr="00010E5B" w:rsidRDefault="00F262F5"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BB7C78"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4DA75E74" w14:textId="1AB2748A" w:rsidR="00E95B48"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E95B48" w:rsidRPr="00010E5B">
              <w:rPr>
                <w:rFonts w:ascii="Times New Roman" w:eastAsia="Times New Roman" w:hAnsi="Times New Roman" w:cs="Times New Roman"/>
                <w:color w:val="000000"/>
                <w:sz w:val="16"/>
                <w:szCs w:val="16"/>
                <w:lang w:eastAsia="uk-UA" w:bidi="uk-UA"/>
              </w:rPr>
              <w:t>встанов</w:t>
            </w:r>
            <w:r w:rsidR="002C122C" w:rsidRPr="00010E5B">
              <w:rPr>
                <w:rFonts w:ascii="Times New Roman" w:eastAsia="Times New Roman" w:hAnsi="Times New Roman" w:cs="Times New Roman"/>
                <w:color w:val="000000"/>
                <w:sz w:val="16"/>
                <w:szCs w:val="16"/>
                <w:lang w:eastAsia="uk-UA" w:bidi="uk-UA"/>
              </w:rPr>
              <w:t>лено</w:t>
            </w:r>
            <w:r w:rsidR="00E95B48" w:rsidRPr="00010E5B">
              <w:rPr>
                <w:rFonts w:ascii="Times New Roman" w:eastAsia="Times New Roman" w:hAnsi="Times New Roman" w:cs="Times New Roman"/>
                <w:color w:val="000000"/>
                <w:sz w:val="16"/>
                <w:szCs w:val="16"/>
                <w:lang w:eastAsia="uk-UA" w:bidi="uk-UA"/>
              </w:rPr>
              <w:t xml:space="preserve"> вимоги щодо форми повідомлення про конфлікт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28DF5EFC"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передбач</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 (</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1C4BB108"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узгод</w:t>
            </w:r>
            <w:r w:rsidR="002C122C" w:rsidRPr="00010E5B">
              <w:rPr>
                <w:rFonts w:ascii="Times New Roman" w:eastAsia="Times New Roman" w:hAnsi="Times New Roman" w:cs="Times New Roman"/>
                <w:color w:val="000000"/>
                <w:sz w:val="16"/>
                <w:szCs w:val="16"/>
                <w:lang w:eastAsia="uk-UA" w:bidi="uk-UA"/>
              </w:rPr>
              <w:t>жено</w:t>
            </w:r>
            <w:r w:rsidRPr="00010E5B">
              <w:rPr>
                <w:rFonts w:ascii="Times New Roman" w:eastAsia="Times New Roman" w:hAnsi="Times New Roman" w:cs="Times New Roman"/>
                <w:color w:val="000000"/>
                <w:sz w:val="16"/>
                <w:szCs w:val="16"/>
                <w:lang w:eastAsia="uk-UA" w:bidi="uk-UA"/>
              </w:rPr>
              <w:t xml:space="preserve">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1ED33E53" w14:textId="77777777" w:rsidR="00421164" w:rsidRPr="00010E5B" w:rsidRDefault="0042116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удосконал</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механізми врегулювання конфлікту інтересів для осіб, які не мають безпосереднього керівника, у тому числі займають виборні посади (1</w:t>
            </w:r>
            <w:r w:rsidR="002C122C" w:rsidRPr="00010E5B">
              <w:rPr>
                <w:rFonts w:ascii="Times New Roman" w:eastAsia="Times New Roman" w:hAnsi="Times New Roman" w:cs="Times New Roman"/>
                <w:color w:val="000000"/>
                <w:sz w:val="16"/>
                <w:szCs w:val="16"/>
                <w:lang w:eastAsia="uk-UA" w:bidi="uk-UA"/>
              </w:rPr>
              <w:t>7</w:t>
            </w:r>
            <w:r w:rsidRPr="00010E5B">
              <w:rPr>
                <w:rFonts w:ascii="Times New Roman" w:eastAsia="Times New Roman" w:hAnsi="Times New Roman" w:cs="Times New Roman"/>
                <w:color w:val="000000"/>
                <w:sz w:val="16"/>
                <w:szCs w:val="16"/>
                <w:lang w:eastAsia="uk-UA" w:bidi="uk-UA"/>
              </w:rPr>
              <w:t>%);</w:t>
            </w:r>
          </w:p>
          <w:p w14:paraId="290AB565"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2C122C" w:rsidRPr="00010E5B">
              <w:rPr>
                <w:rFonts w:ascii="Times New Roman" w:eastAsia="Times New Roman" w:hAnsi="Times New Roman" w:cs="Times New Roman"/>
                <w:color w:val="000000"/>
                <w:sz w:val="16"/>
                <w:szCs w:val="16"/>
                <w:lang w:eastAsia="uk-UA" w:bidi="uk-UA"/>
              </w:rPr>
              <w:t>збільшено</w:t>
            </w:r>
            <w:r w:rsidRPr="00010E5B">
              <w:rPr>
                <w:rFonts w:ascii="Times New Roman" w:eastAsia="Times New Roman" w:hAnsi="Times New Roman" w:cs="Times New Roman"/>
                <w:color w:val="000000"/>
                <w:sz w:val="16"/>
                <w:szCs w:val="16"/>
                <w:lang w:eastAsia="uk-UA" w:bidi="uk-UA"/>
              </w:rPr>
              <w:t xml:space="preserve"> строк для прийняття рішення про врегулювання конфлікту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tc>
        <w:tc>
          <w:tcPr>
            <w:tcW w:w="1134" w:type="dxa"/>
          </w:tcPr>
          <w:p w14:paraId="1ADDA2DC" w14:textId="2F56E1B8" w:rsidR="00E95B48" w:rsidRPr="00010E5B" w:rsidRDefault="002C122C"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85</w:t>
            </w:r>
          </w:p>
        </w:tc>
        <w:tc>
          <w:tcPr>
            <w:tcW w:w="1419" w:type="dxa"/>
          </w:tcPr>
          <w:p w14:paraId="43BD8A1E" w14:textId="77777777" w:rsidR="00E95B48" w:rsidRPr="00010E5B" w:rsidRDefault="00E95B48" w:rsidP="00E15EE6">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59688394" w14:textId="77777777" w:rsidR="00E95B48" w:rsidRPr="00010E5B" w:rsidRDefault="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198CA713"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43F2435E"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E3CB59A" w14:textId="77777777" w:rsidTr="00010E5B">
        <w:trPr>
          <w:jc w:val="center"/>
        </w:trPr>
        <w:tc>
          <w:tcPr>
            <w:tcW w:w="2628" w:type="dxa"/>
            <w:vMerge/>
          </w:tcPr>
          <w:p w14:paraId="2445D38B"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25D138F0" w14:textId="52DC81C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BB7C78"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668226ED" w14:textId="0DA93F7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15</w:t>
            </w:r>
            <w:r w:rsidRPr="00010E5B">
              <w:rPr>
                <w:rFonts w:ascii="Times New Roman" w:eastAsia="Times New Roman" w:hAnsi="Times New Roman" w:cs="Times New Roman"/>
                <w:color w:val="000000"/>
                <w:sz w:val="16"/>
                <w:szCs w:val="16"/>
                <w:lang w:eastAsia="uk-UA" w:bidi="uk-UA"/>
              </w:rPr>
              <w:t>%);</w:t>
            </w:r>
          </w:p>
          <w:p w14:paraId="2A1C46D6" w14:textId="6ECD065E"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xml:space="preserve">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19D6596F" w14:textId="05C0AFA7" w:rsidR="00E95B48" w:rsidRPr="00010E5B" w:rsidRDefault="00E95B48" w:rsidP="00C141B2">
            <w:pPr>
              <w:widowControl w:val="0"/>
              <w:tabs>
                <w:tab w:val="left" w:pos="1274"/>
              </w:tabs>
              <w:ind w:firstLine="284"/>
              <w:jc w:val="both"/>
              <w:rPr>
                <w:rFonts w:ascii="Times New Roman" w:eastAsia="Times New Roman" w:hAnsi="Times New Roman" w:cs="Times New Roman"/>
                <w:b/>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5</w:t>
            </w:r>
            <w:r w:rsidRPr="00010E5B">
              <w:rPr>
                <w:rFonts w:ascii="Times New Roman" w:eastAsia="Times New Roman" w:hAnsi="Times New Roman" w:cs="Times New Roman"/>
                <w:color w:val="000000"/>
                <w:sz w:val="16"/>
                <w:szCs w:val="16"/>
                <w:lang w:eastAsia="uk-UA" w:bidi="uk-UA"/>
              </w:rPr>
              <w:t>%).</w:t>
            </w:r>
          </w:p>
        </w:tc>
        <w:tc>
          <w:tcPr>
            <w:tcW w:w="1134" w:type="dxa"/>
          </w:tcPr>
          <w:p w14:paraId="4F31BB0F" w14:textId="3AF2FCA4"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1</w:t>
            </w:r>
            <w:r w:rsidR="002C122C" w:rsidRPr="00010E5B">
              <w:rPr>
                <w:rFonts w:ascii="Times New Roman" w:eastAsia="Times New Roman" w:hAnsi="Times New Roman" w:cs="Times New Roman"/>
                <w:color w:val="000000"/>
                <w:sz w:val="16"/>
                <w:szCs w:val="16"/>
                <w:lang w:eastAsia="uk-UA" w:bidi="uk-UA"/>
              </w:rPr>
              <w:t>5</w:t>
            </w:r>
          </w:p>
        </w:tc>
        <w:tc>
          <w:tcPr>
            <w:tcW w:w="1419" w:type="dxa"/>
          </w:tcPr>
          <w:p w14:paraId="41E21015"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Експертне </w:t>
            </w:r>
            <w:r w:rsidRPr="00010E5B">
              <w:rPr>
                <w:rFonts w:ascii="Times New Roman" w:eastAsia="Times New Roman" w:hAnsi="Times New Roman" w:cs="Times New Roman"/>
                <w:color w:val="000000"/>
                <w:sz w:val="16"/>
                <w:szCs w:val="16"/>
                <w:lang w:eastAsia="uk-UA" w:bidi="uk-UA"/>
              </w:rPr>
              <w:lastRenderedPageBreak/>
              <w:t>опитування, організоване НАЗК</w:t>
            </w:r>
          </w:p>
        </w:tc>
        <w:tc>
          <w:tcPr>
            <w:tcW w:w="1274" w:type="dxa"/>
          </w:tcPr>
          <w:p w14:paraId="188FC31C"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w:t>
            </w:r>
          </w:p>
        </w:tc>
      </w:tr>
      <w:tr w:rsidR="00B17B49" w:rsidRPr="00B17B49" w14:paraId="112984E4" w14:textId="77777777" w:rsidTr="00010E5B">
        <w:trPr>
          <w:jc w:val="center"/>
        </w:trPr>
        <w:tc>
          <w:tcPr>
            <w:tcW w:w="2628" w:type="dxa"/>
            <w:vMerge w:val="restart"/>
          </w:tcPr>
          <w:p w14:paraId="5A0FCA22" w14:textId="16D2E736" w:rsidR="00E95B48" w:rsidRPr="00010E5B" w:rsidRDefault="0000706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.3.1.3.</w:t>
            </w:r>
            <w:r w:rsidR="00E95B48" w:rsidRPr="00010E5B">
              <w:rPr>
                <w:rFonts w:ascii="Times New Roman" w:eastAsia="Times New Roman" w:hAnsi="Times New Roman" w:cs="Times New Roman"/>
                <w:color w:val="000000"/>
                <w:sz w:val="20"/>
                <w:szCs w:val="20"/>
                <w:lang w:eastAsia="uk-UA" w:bidi="uk-UA"/>
              </w:rPr>
              <w:t> Удосконалено систему правил самостійного та зовнішнього врегулювання конфлікту інтересів</w:t>
            </w:r>
          </w:p>
        </w:tc>
        <w:tc>
          <w:tcPr>
            <w:tcW w:w="8424" w:type="dxa"/>
          </w:tcPr>
          <w:p w14:paraId="2ACA577D" w14:textId="76BE2AA6" w:rsidR="00E95B48" w:rsidRPr="00010E5B" w:rsidRDefault="0000706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BB7C78" w:rsidRPr="00010E5B">
              <w:rPr>
                <w:rFonts w:ascii="Times New Roman" w:eastAsia="Times New Roman" w:hAnsi="Times New Roman" w:cs="Times New Roman"/>
                <w:b/>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2F8B27C9" w14:textId="667FEECC" w:rsidR="00421164" w:rsidRPr="00010E5B" w:rsidRDefault="00007068" w:rsidP="00C141B2">
            <w:pPr>
              <w:widowControl w:val="0"/>
              <w:tabs>
                <w:tab w:val="left" w:pos="455"/>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р</w:t>
            </w:r>
            <w:r w:rsidR="00E95B48" w:rsidRPr="00010E5B">
              <w:rPr>
                <w:rFonts w:ascii="Times New Roman" w:eastAsia="Times New Roman" w:hAnsi="Times New Roman" w:cs="Times New Roman"/>
                <w:color w:val="000000"/>
                <w:sz w:val="16"/>
                <w:szCs w:val="16"/>
                <w:lang w:eastAsia="uk-UA" w:bidi="uk-UA"/>
              </w:rPr>
              <w:t>озшир</w:t>
            </w:r>
            <w:r w:rsidR="002C122C" w:rsidRPr="00010E5B">
              <w:rPr>
                <w:rFonts w:ascii="Times New Roman" w:eastAsia="Times New Roman" w:hAnsi="Times New Roman" w:cs="Times New Roman"/>
                <w:color w:val="000000"/>
                <w:sz w:val="16"/>
                <w:szCs w:val="16"/>
                <w:lang w:eastAsia="uk-UA" w:bidi="uk-UA"/>
              </w:rPr>
              <w:t>ено</w:t>
            </w:r>
            <w:r w:rsidR="00E95B48" w:rsidRPr="00010E5B">
              <w:rPr>
                <w:rFonts w:ascii="Times New Roman" w:eastAsia="Times New Roman" w:hAnsi="Times New Roman" w:cs="Times New Roman"/>
                <w:color w:val="000000"/>
                <w:sz w:val="16"/>
                <w:szCs w:val="16"/>
                <w:lang w:eastAsia="uk-UA" w:bidi="uk-UA"/>
              </w:rPr>
              <w:t xml:space="preserve"> перелік можливих способів самостійного врегулювання конфлікту інтересів</w:t>
            </w:r>
            <w:r w:rsidR="006117E6" w:rsidRPr="00010E5B">
              <w:rPr>
                <w:rFonts w:ascii="Times New Roman" w:eastAsia="Times New Roman" w:hAnsi="Times New Roman" w:cs="Times New Roman"/>
                <w:color w:val="000000"/>
                <w:sz w:val="16"/>
                <w:szCs w:val="16"/>
                <w:lang w:eastAsia="uk-UA" w:bidi="uk-UA"/>
              </w:rPr>
              <w:t xml:space="preserve"> </w:t>
            </w:r>
            <w:r w:rsidR="00256BEA" w:rsidRPr="00010E5B">
              <w:rPr>
                <w:rFonts w:ascii="Times New Roman" w:eastAsia="Times New Roman" w:hAnsi="Times New Roman" w:cs="Times New Roman"/>
                <w:color w:val="000000"/>
                <w:sz w:val="16"/>
                <w:szCs w:val="16"/>
                <w:lang w:eastAsia="uk-UA" w:bidi="uk-UA"/>
              </w:rPr>
              <w:t>(4</w:t>
            </w:r>
            <w:r w:rsidR="006117E6" w:rsidRPr="00010E5B">
              <w:rPr>
                <w:rFonts w:ascii="Times New Roman" w:eastAsia="Times New Roman" w:hAnsi="Times New Roman" w:cs="Times New Roman"/>
                <w:color w:val="000000"/>
                <w:sz w:val="16"/>
                <w:szCs w:val="16"/>
                <w:lang w:eastAsia="uk-UA" w:bidi="uk-UA"/>
              </w:rPr>
              <w:t>0%)</w:t>
            </w:r>
            <w:r w:rsidR="00421164" w:rsidRPr="00010E5B">
              <w:rPr>
                <w:rFonts w:ascii="Times New Roman" w:eastAsia="Times New Roman" w:hAnsi="Times New Roman" w:cs="Times New Roman"/>
                <w:color w:val="000000"/>
                <w:sz w:val="16"/>
                <w:szCs w:val="16"/>
                <w:lang w:eastAsia="uk-UA" w:bidi="uk-UA"/>
              </w:rPr>
              <w:t>;</w:t>
            </w:r>
            <w:r w:rsidR="00E95B48" w:rsidRPr="00010E5B">
              <w:rPr>
                <w:rFonts w:ascii="Times New Roman" w:eastAsia="Times New Roman" w:hAnsi="Times New Roman" w:cs="Times New Roman"/>
                <w:color w:val="000000"/>
                <w:sz w:val="16"/>
                <w:szCs w:val="16"/>
                <w:lang w:eastAsia="uk-UA" w:bidi="uk-UA"/>
              </w:rPr>
              <w:t xml:space="preserve"> </w:t>
            </w:r>
          </w:p>
          <w:p w14:paraId="7F67F17A" w14:textId="5AB6AC3B" w:rsidR="00007068" w:rsidRPr="00010E5B" w:rsidRDefault="00421164" w:rsidP="00C141B2">
            <w:pPr>
              <w:widowControl w:val="0"/>
              <w:tabs>
                <w:tab w:val="left" w:pos="455"/>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  </w:t>
            </w:r>
            <w:r w:rsidR="002C122C" w:rsidRPr="00010E5B">
              <w:rPr>
                <w:rFonts w:ascii="Times New Roman" w:eastAsia="Times New Roman" w:hAnsi="Times New Roman" w:cs="Times New Roman"/>
                <w:color w:val="000000"/>
                <w:sz w:val="16"/>
                <w:szCs w:val="16"/>
                <w:lang w:eastAsia="uk-UA" w:bidi="uk-UA"/>
              </w:rPr>
              <w:t>узгоджено</w:t>
            </w:r>
            <w:r w:rsidRPr="00010E5B">
              <w:rPr>
                <w:rFonts w:ascii="Times New Roman" w:eastAsia="Times New Roman" w:hAnsi="Times New Roman" w:cs="Times New Roman"/>
                <w:color w:val="000000"/>
                <w:sz w:val="16"/>
                <w:szCs w:val="16"/>
                <w:lang w:eastAsia="uk-UA" w:bidi="uk-UA"/>
              </w:rPr>
              <w:t xml:space="preserve"> </w:t>
            </w:r>
            <w:r w:rsidR="00E95B48" w:rsidRPr="00010E5B">
              <w:rPr>
                <w:rFonts w:ascii="Times New Roman" w:eastAsia="Times New Roman" w:hAnsi="Times New Roman" w:cs="Times New Roman"/>
                <w:color w:val="000000"/>
                <w:sz w:val="16"/>
                <w:szCs w:val="16"/>
                <w:lang w:eastAsia="uk-UA" w:bidi="uk-UA"/>
              </w:rPr>
              <w:t>процедури зовнішнього та самостійного врегулювання конфлікту інтересів</w:t>
            </w:r>
            <w:r w:rsidRPr="00010E5B">
              <w:rPr>
                <w:rFonts w:ascii="Times New Roman" w:eastAsia="Times New Roman" w:hAnsi="Times New Roman" w:cs="Times New Roman"/>
                <w:color w:val="000000"/>
                <w:sz w:val="16"/>
                <w:szCs w:val="16"/>
                <w:lang w:eastAsia="uk-UA" w:bidi="uk-UA"/>
              </w:rPr>
              <w:t>, зокрема, в частині строків повідомлення про конфлікт інтересів, його зовнішнього врегулювання та строків самостійного його врегулювання</w:t>
            </w:r>
            <w:r w:rsidR="00256BEA" w:rsidRPr="00010E5B">
              <w:rPr>
                <w:rFonts w:ascii="Times New Roman" w:eastAsia="Times New Roman" w:hAnsi="Times New Roman" w:cs="Times New Roman"/>
                <w:color w:val="000000"/>
                <w:sz w:val="16"/>
                <w:szCs w:val="16"/>
                <w:lang w:eastAsia="uk-UA" w:bidi="uk-UA"/>
              </w:rPr>
              <w:t xml:space="preserve"> (5</w:t>
            </w:r>
            <w:r w:rsidR="006117E6" w:rsidRPr="00010E5B">
              <w:rPr>
                <w:rFonts w:ascii="Times New Roman" w:eastAsia="Times New Roman" w:hAnsi="Times New Roman" w:cs="Times New Roman"/>
                <w:color w:val="000000"/>
                <w:sz w:val="16"/>
                <w:szCs w:val="16"/>
                <w:lang w:eastAsia="uk-UA" w:bidi="uk-UA"/>
              </w:rPr>
              <w:t>0%).</w:t>
            </w:r>
          </w:p>
        </w:tc>
        <w:tc>
          <w:tcPr>
            <w:tcW w:w="1134" w:type="dxa"/>
          </w:tcPr>
          <w:p w14:paraId="51A7C5F0"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2C616254" w14:textId="77777777" w:rsidR="00E95B48" w:rsidRPr="00010E5B" w:rsidRDefault="00E95B48" w:rsidP="00010E5B">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2F05F7B3" w14:textId="77777777" w:rsidR="00E95B48" w:rsidRPr="00010E5B" w:rsidRDefault="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12FC56F0"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759FDE8C"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624CBF0F" w14:textId="77777777" w:rsidTr="00010E5B">
        <w:trPr>
          <w:jc w:val="center"/>
        </w:trPr>
        <w:tc>
          <w:tcPr>
            <w:tcW w:w="2628" w:type="dxa"/>
            <w:vMerge/>
          </w:tcPr>
          <w:p w14:paraId="00DBE531"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0EF42B6C" w14:textId="0A548AEE"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BB7C78"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48327E90" w14:textId="3F05DBB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542E45B9" w14:textId="4FBE7C50"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0E359F7B" w14:textId="452918BB"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5D4A82">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5D4A82">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5D4A82" w:rsidRPr="002909D7">
              <w:rPr>
                <w:rFonts w:ascii="Times New Roman" w:eastAsia="Times New Roman" w:hAnsi="Times New Roman" w:cs="Times New Roman"/>
                <w:color w:val="000000"/>
                <w:sz w:val="16"/>
                <w:szCs w:val="16"/>
                <w:lang w:eastAsia="uk-UA" w:bidi="uk-UA"/>
              </w:rPr>
              <w:t xml:space="preserve"> </w:t>
            </w:r>
            <w:r w:rsidR="005D4A82">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3A33D9EC"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723BFAF6"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0217B37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6EC823E8" w14:textId="77777777" w:rsidTr="00010E5B">
        <w:trPr>
          <w:jc w:val="center"/>
        </w:trPr>
        <w:tc>
          <w:tcPr>
            <w:tcW w:w="2628" w:type="dxa"/>
            <w:vMerge w:val="restart"/>
          </w:tcPr>
          <w:p w14:paraId="354A92B2" w14:textId="0D7121D3" w:rsidR="00E95B48" w:rsidRPr="00010E5B" w:rsidRDefault="006117E6"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.3.1.4.</w:t>
            </w:r>
            <w:r w:rsidR="00E95B48" w:rsidRPr="00010E5B">
              <w:rPr>
                <w:rFonts w:ascii="Times New Roman" w:eastAsia="Times New Roman" w:hAnsi="Times New Roman" w:cs="Times New Roman"/>
                <w:color w:val="000000"/>
                <w:sz w:val="20"/>
                <w:szCs w:val="20"/>
                <w:lang w:eastAsia="uk-UA" w:bidi="uk-UA"/>
              </w:rPr>
              <w:t> Встановлено перелік заборон на прийняття рішень, вчинення дій чи укладення угод як спосіб запобігання конфлікту інтересів</w:t>
            </w:r>
          </w:p>
        </w:tc>
        <w:tc>
          <w:tcPr>
            <w:tcW w:w="8424" w:type="dxa"/>
          </w:tcPr>
          <w:p w14:paraId="27F8EA95" w14:textId="1AC77921" w:rsidR="00E95B48" w:rsidRPr="00EA7B13" w:rsidRDefault="00E6068C"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EA7B13">
              <w:rPr>
                <w:rFonts w:ascii="Times New Roman" w:eastAsia="Times New Roman" w:hAnsi="Times New Roman" w:cs="Times New Roman"/>
                <w:b/>
                <w:color w:val="000000"/>
                <w:sz w:val="20"/>
                <w:szCs w:val="20"/>
                <w:lang w:eastAsia="uk-UA" w:bidi="uk-UA"/>
              </w:rPr>
              <w:t>1.</w:t>
            </w:r>
            <w:r w:rsidRPr="00EA7B13">
              <w:rPr>
                <w:rFonts w:ascii="Times New Roman" w:eastAsia="Times New Roman" w:hAnsi="Times New Roman" w:cs="Times New Roman"/>
                <w:color w:val="000000"/>
                <w:sz w:val="20"/>
                <w:szCs w:val="20"/>
                <w:lang w:eastAsia="uk-UA" w:bidi="uk-UA"/>
              </w:rPr>
              <w:t> </w:t>
            </w:r>
            <w:r w:rsidR="00E95B48" w:rsidRPr="00EA7B13">
              <w:rPr>
                <w:rFonts w:ascii="Times New Roman" w:eastAsia="Times New Roman" w:hAnsi="Times New Roman" w:cs="Times New Roman"/>
                <w:color w:val="000000"/>
                <w:sz w:val="20"/>
                <w:szCs w:val="20"/>
                <w:lang w:eastAsia="uk-UA" w:bidi="uk-UA"/>
              </w:rPr>
              <w:t>Набрав чинності закон, яки</w:t>
            </w:r>
            <w:r w:rsidR="002C122C" w:rsidRPr="00EA7B13">
              <w:rPr>
                <w:rFonts w:ascii="Times New Roman" w:eastAsia="Times New Roman" w:hAnsi="Times New Roman" w:cs="Times New Roman"/>
                <w:color w:val="000000"/>
                <w:sz w:val="20"/>
                <w:szCs w:val="20"/>
                <w:lang w:eastAsia="uk-UA" w:bidi="uk-UA"/>
              </w:rPr>
              <w:t>м</w:t>
            </w:r>
            <w:r w:rsidR="00E95B48" w:rsidRPr="00EA7B13">
              <w:rPr>
                <w:rFonts w:ascii="Times New Roman" w:eastAsia="Times New Roman" w:hAnsi="Times New Roman" w:cs="Times New Roman"/>
                <w:color w:val="000000"/>
                <w:sz w:val="20"/>
                <w:szCs w:val="20"/>
                <w:lang w:eastAsia="uk-UA" w:bidi="uk-UA"/>
              </w:rPr>
              <w:t xml:space="preserve"> </w:t>
            </w:r>
            <w:r w:rsidRPr="00EA7B13">
              <w:rPr>
                <w:rFonts w:ascii="Times New Roman" w:eastAsia="Times New Roman" w:hAnsi="Times New Roman" w:cs="Times New Roman"/>
                <w:color w:val="000000"/>
                <w:sz w:val="20"/>
                <w:szCs w:val="20"/>
                <w:lang w:eastAsia="uk-UA" w:bidi="uk-UA"/>
              </w:rPr>
              <w:t>д</w:t>
            </w:r>
            <w:r w:rsidR="00E95B48" w:rsidRPr="00EA7B13">
              <w:rPr>
                <w:rFonts w:ascii="Times New Roman" w:eastAsia="Times New Roman" w:hAnsi="Times New Roman" w:cs="Times New Roman"/>
                <w:color w:val="000000"/>
                <w:sz w:val="20"/>
                <w:szCs w:val="20"/>
                <w:lang w:eastAsia="uk-UA" w:bidi="uk-UA"/>
              </w:rPr>
              <w:t>оповн</w:t>
            </w:r>
            <w:r w:rsidR="002C122C" w:rsidRPr="00EA7B13">
              <w:rPr>
                <w:rFonts w:ascii="Times New Roman" w:eastAsia="Times New Roman" w:hAnsi="Times New Roman" w:cs="Times New Roman"/>
                <w:color w:val="000000"/>
                <w:sz w:val="20"/>
                <w:szCs w:val="20"/>
                <w:lang w:eastAsia="uk-UA" w:bidi="uk-UA"/>
              </w:rPr>
              <w:t>ено</w:t>
            </w:r>
            <w:r w:rsidR="00E95B48" w:rsidRPr="00EA7B13">
              <w:rPr>
                <w:rFonts w:ascii="Times New Roman" w:eastAsia="Times New Roman" w:hAnsi="Times New Roman" w:cs="Times New Roman"/>
                <w:color w:val="000000"/>
                <w:sz w:val="20"/>
                <w:szCs w:val="20"/>
                <w:lang w:eastAsia="uk-UA" w:bidi="uk-UA"/>
              </w:rPr>
              <w:t xml:space="preserve"> Закон України «Про запобігання корупції» </w:t>
            </w:r>
            <w:r w:rsidRPr="00EA7B13">
              <w:rPr>
                <w:rFonts w:ascii="Times New Roman" w:eastAsia="Times New Roman" w:hAnsi="Times New Roman" w:cs="Times New Roman"/>
                <w:color w:val="000000"/>
                <w:sz w:val="20"/>
                <w:szCs w:val="20"/>
                <w:lang w:eastAsia="uk-UA" w:bidi="uk-UA"/>
              </w:rPr>
              <w:t>заборонами на</w:t>
            </w:r>
            <w:r w:rsidR="00E95B48" w:rsidRPr="00EA7B13">
              <w:rPr>
                <w:rFonts w:ascii="Times New Roman" w:eastAsia="Times New Roman" w:hAnsi="Times New Roman" w:cs="Times New Roman"/>
                <w:color w:val="000000"/>
                <w:sz w:val="20"/>
                <w:szCs w:val="20"/>
                <w:lang w:eastAsia="uk-UA" w:bidi="uk-UA"/>
              </w:rPr>
              <w:t xml:space="preserve"> прийняття рішень, вчинення дій чи укладення угод </w:t>
            </w:r>
            <w:r w:rsidRPr="00EA7B13">
              <w:rPr>
                <w:rFonts w:ascii="Times New Roman" w:eastAsia="Times New Roman" w:hAnsi="Times New Roman" w:cs="Times New Roman"/>
                <w:color w:val="000000"/>
                <w:sz w:val="20"/>
                <w:szCs w:val="20"/>
                <w:lang w:eastAsia="uk-UA" w:bidi="uk-UA"/>
              </w:rPr>
              <w:t>у певних типових ситуаціях</w:t>
            </w:r>
            <w:r w:rsidR="00E21D4D" w:rsidRPr="00EA7B13">
              <w:rPr>
                <w:rFonts w:ascii="Times New Roman" w:eastAsia="Times New Roman" w:hAnsi="Times New Roman" w:cs="Times New Roman"/>
                <w:color w:val="000000"/>
                <w:sz w:val="20"/>
                <w:szCs w:val="20"/>
                <w:lang w:eastAsia="uk-UA" w:bidi="uk-UA"/>
              </w:rPr>
              <w:t>,</w:t>
            </w:r>
            <w:r w:rsidR="00516FEC" w:rsidRPr="00EA7B13">
              <w:rPr>
                <w:rFonts w:ascii="Times New Roman" w:eastAsia="Times New Roman" w:hAnsi="Times New Roman" w:cs="Times New Roman"/>
                <w:color w:val="000000"/>
                <w:sz w:val="20"/>
                <w:szCs w:val="20"/>
                <w:lang w:eastAsia="uk-UA" w:bidi="uk-UA"/>
              </w:rPr>
              <w:t xml:space="preserve"> у яких </w:t>
            </w:r>
            <w:r w:rsidR="00AB515C" w:rsidRPr="00EA7B13">
              <w:rPr>
                <w:rFonts w:ascii="Times New Roman" w:eastAsia="Times New Roman" w:hAnsi="Times New Roman" w:cs="Times New Roman"/>
                <w:color w:val="000000"/>
                <w:sz w:val="20"/>
                <w:szCs w:val="20"/>
                <w:lang w:eastAsia="uk-UA" w:bidi="uk-UA"/>
              </w:rPr>
              <w:t xml:space="preserve">очевидно </w:t>
            </w:r>
            <w:r w:rsidRPr="00EA7B13">
              <w:rPr>
                <w:rFonts w:ascii="Times New Roman" w:eastAsia="Times New Roman" w:hAnsi="Times New Roman" w:cs="Times New Roman"/>
                <w:color w:val="000000"/>
                <w:sz w:val="20"/>
                <w:szCs w:val="20"/>
                <w:lang w:eastAsia="uk-UA" w:bidi="uk-UA"/>
              </w:rPr>
              <w:t>ма</w:t>
            </w:r>
            <w:r w:rsidR="00516FEC" w:rsidRPr="00EA7B13">
              <w:rPr>
                <w:rFonts w:ascii="Times New Roman" w:eastAsia="Times New Roman" w:hAnsi="Times New Roman" w:cs="Times New Roman"/>
                <w:color w:val="000000"/>
                <w:sz w:val="20"/>
                <w:szCs w:val="20"/>
                <w:lang w:eastAsia="uk-UA" w:bidi="uk-UA"/>
              </w:rPr>
              <w:t>є</w:t>
            </w:r>
            <w:r w:rsidRPr="00EA7B13">
              <w:rPr>
                <w:rFonts w:ascii="Times New Roman" w:eastAsia="Times New Roman" w:hAnsi="Times New Roman" w:cs="Times New Roman"/>
                <w:color w:val="000000"/>
                <w:sz w:val="20"/>
                <w:szCs w:val="20"/>
                <w:lang w:eastAsia="uk-UA" w:bidi="uk-UA"/>
              </w:rPr>
              <w:t xml:space="preserve"> місце реальний конфлікт інтересів</w:t>
            </w:r>
            <w:r w:rsidR="007F6CB8" w:rsidRPr="00EA7B13">
              <w:rPr>
                <w:rFonts w:ascii="Times New Roman" w:eastAsia="Times New Roman" w:hAnsi="Times New Roman" w:cs="Times New Roman"/>
                <w:color w:val="000000"/>
                <w:sz w:val="20"/>
                <w:szCs w:val="20"/>
                <w:lang w:eastAsia="uk-UA" w:bidi="uk-UA"/>
              </w:rPr>
              <w:t xml:space="preserve">, </w:t>
            </w:r>
            <w:r w:rsidR="009F677D" w:rsidRPr="00EA7B13">
              <w:rPr>
                <w:rFonts w:ascii="Times New Roman" w:eastAsia="Times New Roman" w:hAnsi="Times New Roman" w:cs="Times New Roman"/>
                <w:color w:val="000000"/>
                <w:sz w:val="20"/>
                <w:szCs w:val="20"/>
                <w:lang w:eastAsia="uk-UA" w:bidi="uk-UA"/>
              </w:rPr>
              <w:t xml:space="preserve">зокрема стосовно </w:t>
            </w:r>
            <w:r w:rsidR="007F6CB8" w:rsidRPr="00EA7B13">
              <w:rPr>
                <w:rFonts w:ascii="Times New Roman" w:eastAsia="Times New Roman" w:hAnsi="Times New Roman" w:cs="Times New Roman"/>
                <w:color w:val="000000"/>
                <w:sz w:val="20"/>
                <w:szCs w:val="20"/>
                <w:lang w:eastAsia="uk-UA" w:bidi="uk-UA"/>
              </w:rPr>
              <w:t xml:space="preserve">себе та близьких осіб, юридичних осіб, у яких посадова особа або близька їй особа є засновником, кінцевим </w:t>
            </w:r>
            <w:proofErr w:type="spellStart"/>
            <w:r w:rsidR="007F6CB8" w:rsidRPr="00EA7B13">
              <w:rPr>
                <w:rFonts w:ascii="Times New Roman" w:eastAsia="Times New Roman" w:hAnsi="Times New Roman" w:cs="Times New Roman"/>
                <w:color w:val="000000"/>
                <w:sz w:val="20"/>
                <w:szCs w:val="20"/>
                <w:lang w:eastAsia="uk-UA" w:bidi="uk-UA"/>
              </w:rPr>
              <w:t>бенефеціарним</w:t>
            </w:r>
            <w:proofErr w:type="spellEnd"/>
            <w:r w:rsidR="007F6CB8" w:rsidRPr="00EA7B13">
              <w:rPr>
                <w:rFonts w:ascii="Times New Roman" w:eastAsia="Times New Roman" w:hAnsi="Times New Roman" w:cs="Times New Roman"/>
                <w:color w:val="000000"/>
                <w:sz w:val="20"/>
                <w:szCs w:val="20"/>
                <w:lang w:eastAsia="uk-UA" w:bidi="uk-UA"/>
              </w:rPr>
              <w:t xml:space="preserve"> власником чи керівником таких юридичних осіб.</w:t>
            </w:r>
          </w:p>
        </w:tc>
        <w:tc>
          <w:tcPr>
            <w:tcW w:w="1134" w:type="dxa"/>
          </w:tcPr>
          <w:p w14:paraId="134C221C"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6AC546B0" w14:textId="77777777" w:rsidR="00E95B48" w:rsidRPr="00010E5B" w:rsidRDefault="00E95B48" w:rsidP="00E95B48">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2D35C8D2"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0365F5F0"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79989CE6"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30D2626" w14:textId="77777777" w:rsidTr="00010E5B">
        <w:trPr>
          <w:jc w:val="center"/>
        </w:trPr>
        <w:tc>
          <w:tcPr>
            <w:tcW w:w="2628" w:type="dxa"/>
            <w:vMerge/>
          </w:tcPr>
          <w:p w14:paraId="0F165AF8"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67AC8DEB" w14:textId="717EB31D"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Pr="00010E5B">
              <w:rPr>
                <w:rFonts w:ascii="Times New Roman" w:eastAsia="Times New Roman" w:hAnsi="Times New Roman" w:cs="Times New Roman"/>
                <w:color w:val="000000"/>
                <w:sz w:val="20"/>
                <w:szCs w:val="20"/>
                <w:lang w:eastAsia="uk-UA" w:bidi="uk-UA"/>
              </w:rPr>
              <w:t xml:space="preserve"> За результатами експертного опитування встановлено, що:</w:t>
            </w:r>
          </w:p>
          <w:p w14:paraId="61CD688E" w14:textId="09451EFC"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2030F6EA" w14:textId="7BC2AF4A"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117D34FE" w14:textId="21A4B39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0B66C0C7"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7FFE5739"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5B652A1B"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1709E628" w14:textId="77777777" w:rsidTr="00010E5B">
        <w:trPr>
          <w:jc w:val="center"/>
        </w:trPr>
        <w:tc>
          <w:tcPr>
            <w:tcW w:w="2628" w:type="dxa"/>
            <w:vMerge w:val="restart"/>
          </w:tcPr>
          <w:p w14:paraId="3A7D5F90" w14:textId="085A47F4" w:rsidR="00E95B48" w:rsidRPr="00010E5B" w:rsidRDefault="001E6070"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.3.1.5.</w:t>
            </w:r>
            <w:r w:rsidR="001301D3" w:rsidRPr="00010E5B">
              <w:rPr>
                <w:rFonts w:ascii="Times New Roman" w:eastAsia="Calibri" w:hAnsi="Times New Roman" w:cs="Times New Roman"/>
                <w:b/>
                <w:sz w:val="20"/>
                <w:szCs w:val="20"/>
              </w:rPr>
              <w:t> </w:t>
            </w:r>
            <w:r w:rsidR="00E95B48" w:rsidRPr="00010E5B">
              <w:rPr>
                <w:rFonts w:ascii="Times New Roman" w:eastAsia="Times New Roman" w:hAnsi="Times New Roman" w:cs="Times New Roman"/>
                <w:color w:val="000000"/>
                <w:sz w:val="20"/>
                <w:szCs w:val="20"/>
                <w:lang w:eastAsia="uk-UA" w:bidi="uk-UA"/>
              </w:rPr>
              <w:t xml:space="preserve">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w:t>
            </w:r>
            <w:r w:rsidR="00E95B48" w:rsidRPr="00010E5B">
              <w:rPr>
                <w:rFonts w:ascii="Times New Roman" w:eastAsia="Times New Roman" w:hAnsi="Times New Roman" w:cs="Times New Roman"/>
                <w:color w:val="000000"/>
                <w:sz w:val="20"/>
                <w:szCs w:val="20"/>
                <w:lang w:eastAsia="uk-UA" w:bidi="uk-UA"/>
              </w:rPr>
              <w:lastRenderedPageBreak/>
              <w:t>юридичних осіб, у яких в особи наявні корпоративні права</w:t>
            </w:r>
          </w:p>
        </w:tc>
        <w:tc>
          <w:tcPr>
            <w:tcW w:w="8424" w:type="dxa"/>
          </w:tcPr>
          <w:p w14:paraId="76C7F665" w14:textId="24AA4E5B" w:rsidR="00E95B48" w:rsidRPr="00010E5B" w:rsidRDefault="001E6070"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lastRenderedPageBreak/>
              <w:t>1</w:t>
            </w:r>
            <w:r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B293B"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70446DC9" w14:textId="77777777" w:rsidR="001E6070" w:rsidRPr="00010E5B" w:rsidRDefault="001E6070"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встанов</w:t>
            </w:r>
            <w:r w:rsidR="002C122C" w:rsidRPr="00010E5B">
              <w:rPr>
                <w:rFonts w:ascii="Times New Roman" w:eastAsia="Times New Roman" w:hAnsi="Times New Roman" w:cs="Times New Roman"/>
                <w:color w:val="000000"/>
                <w:sz w:val="16"/>
                <w:szCs w:val="16"/>
                <w:lang w:eastAsia="uk-UA" w:bidi="uk-UA"/>
              </w:rPr>
              <w:t>лено</w:t>
            </w:r>
            <w:r w:rsidRPr="00010E5B">
              <w:rPr>
                <w:rFonts w:ascii="Times New Roman" w:eastAsia="Times New Roman" w:hAnsi="Times New Roman" w:cs="Times New Roman"/>
                <w:color w:val="000000"/>
                <w:sz w:val="16"/>
                <w:szCs w:val="16"/>
                <w:lang w:eastAsia="uk-UA" w:bidi="uk-UA"/>
              </w:rPr>
              <w:t xml:space="preserve"> обов’язок передавати в управління підприємства та корпоративні прав, які набуваються вже після призначення (обрання) особи на посаду</w:t>
            </w:r>
            <w:r w:rsidR="003B6791" w:rsidRPr="00010E5B">
              <w:rPr>
                <w:rFonts w:ascii="Times New Roman" w:eastAsia="Times New Roman" w:hAnsi="Times New Roman" w:cs="Times New Roman"/>
                <w:color w:val="000000"/>
                <w:sz w:val="16"/>
                <w:szCs w:val="16"/>
                <w:lang w:eastAsia="uk-UA" w:bidi="uk-UA"/>
              </w:rPr>
              <w:t xml:space="preserve"> (30%)</w:t>
            </w:r>
            <w:r w:rsidRPr="00010E5B">
              <w:rPr>
                <w:rFonts w:ascii="Times New Roman" w:eastAsia="Times New Roman" w:hAnsi="Times New Roman" w:cs="Times New Roman"/>
                <w:color w:val="000000"/>
                <w:sz w:val="16"/>
                <w:szCs w:val="16"/>
                <w:lang w:eastAsia="uk-UA" w:bidi="uk-UA"/>
              </w:rPr>
              <w:t xml:space="preserve">; </w:t>
            </w:r>
          </w:p>
          <w:p w14:paraId="0C34A3D8" w14:textId="77777777" w:rsidR="001E6070" w:rsidRPr="00010E5B" w:rsidRDefault="001E6070"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вс</w:t>
            </w:r>
            <w:r w:rsidR="00EF3B4C" w:rsidRPr="00010E5B">
              <w:rPr>
                <w:rFonts w:ascii="Times New Roman" w:eastAsia="Times New Roman" w:hAnsi="Times New Roman" w:cs="Times New Roman"/>
                <w:color w:val="000000"/>
                <w:sz w:val="16"/>
                <w:szCs w:val="16"/>
                <w:lang w:eastAsia="uk-UA" w:bidi="uk-UA"/>
              </w:rPr>
              <w:t>т</w:t>
            </w:r>
            <w:r w:rsidRPr="00010E5B">
              <w:rPr>
                <w:rFonts w:ascii="Times New Roman" w:eastAsia="Times New Roman" w:hAnsi="Times New Roman" w:cs="Times New Roman"/>
                <w:color w:val="000000"/>
                <w:sz w:val="16"/>
                <w:szCs w:val="16"/>
                <w:lang w:eastAsia="uk-UA" w:bidi="uk-UA"/>
              </w:rPr>
              <w:t>анов</w:t>
            </w:r>
            <w:r w:rsidR="002C122C" w:rsidRPr="00010E5B">
              <w:rPr>
                <w:rFonts w:ascii="Times New Roman" w:eastAsia="Times New Roman" w:hAnsi="Times New Roman" w:cs="Times New Roman"/>
                <w:color w:val="000000"/>
                <w:sz w:val="16"/>
                <w:szCs w:val="16"/>
                <w:lang w:eastAsia="uk-UA" w:bidi="uk-UA"/>
              </w:rPr>
              <w:t>лено</w:t>
            </w:r>
            <w:r w:rsidRPr="00010E5B">
              <w:rPr>
                <w:rFonts w:ascii="Times New Roman" w:eastAsia="Times New Roman" w:hAnsi="Times New Roman" w:cs="Times New Roman"/>
                <w:color w:val="000000"/>
                <w:sz w:val="16"/>
                <w:szCs w:val="16"/>
                <w:lang w:eastAsia="uk-UA" w:bidi="uk-UA"/>
              </w:rPr>
              <w:t xml:space="preserve"> заборону передавати в управління належні посадовцю підприємства та корпоративні права близьким особам</w:t>
            </w:r>
            <w:r w:rsidR="003B6791" w:rsidRPr="00010E5B">
              <w:rPr>
                <w:rFonts w:ascii="Times New Roman" w:eastAsia="Times New Roman" w:hAnsi="Times New Roman" w:cs="Times New Roman"/>
                <w:color w:val="000000"/>
                <w:sz w:val="16"/>
                <w:szCs w:val="16"/>
                <w:lang w:eastAsia="uk-UA" w:bidi="uk-UA"/>
              </w:rPr>
              <w:t xml:space="preserve"> (</w:t>
            </w:r>
            <w:r w:rsidR="00151E69" w:rsidRPr="00010E5B">
              <w:rPr>
                <w:rFonts w:ascii="Times New Roman" w:eastAsia="Times New Roman" w:hAnsi="Times New Roman" w:cs="Times New Roman"/>
                <w:color w:val="000000"/>
                <w:sz w:val="16"/>
                <w:szCs w:val="16"/>
                <w:lang w:eastAsia="uk-UA" w:bidi="uk-UA"/>
              </w:rPr>
              <w:t>3</w:t>
            </w:r>
            <w:r w:rsidR="003B6791" w:rsidRPr="00010E5B">
              <w:rPr>
                <w:rFonts w:ascii="Times New Roman" w:eastAsia="Times New Roman" w:hAnsi="Times New Roman" w:cs="Times New Roman"/>
                <w:color w:val="000000"/>
                <w:sz w:val="16"/>
                <w:szCs w:val="16"/>
                <w:lang w:eastAsia="uk-UA" w:bidi="uk-UA"/>
              </w:rPr>
              <w:t>0%)</w:t>
            </w:r>
            <w:r w:rsidRPr="00010E5B">
              <w:rPr>
                <w:rFonts w:ascii="Times New Roman" w:eastAsia="Times New Roman" w:hAnsi="Times New Roman" w:cs="Times New Roman"/>
                <w:color w:val="000000"/>
                <w:sz w:val="16"/>
                <w:szCs w:val="16"/>
                <w:lang w:eastAsia="uk-UA" w:bidi="uk-UA"/>
              </w:rPr>
              <w:t xml:space="preserve">; </w:t>
            </w:r>
          </w:p>
          <w:p w14:paraId="5A7E57A1" w14:textId="629EBD8F" w:rsidR="00E95B48" w:rsidRPr="00010E5B" w:rsidRDefault="003B6791"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1E6070"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встанов</w:t>
            </w:r>
            <w:r w:rsidR="002C122C" w:rsidRPr="00010E5B">
              <w:rPr>
                <w:rFonts w:ascii="Times New Roman" w:eastAsia="Times New Roman" w:hAnsi="Times New Roman" w:cs="Times New Roman"/>
                <w:color w:val="000000"/>
                <w:sz w:val="16"/>
                <w:szCs w:val="16"/>
                <w:lang w:eastAsia="uk-UA" w:bidi="uk-UA"/>
              </w:rPr>
              <w:t>лено</w:t>
            </w:r>
            <w:r w:rsidR="001E6070" w:rsidRPr="00010E5B">
              <w:rPr>
                <w:rFonts w:ascii="Times New Roman" w:eastAsia="Times New Roman" w:hAnsi="Times New Roman" w:cs="Times New Roman"/>
                <w:color w:val="000000"/>
                <w:sz w:val="16"/>
                <w:szCs w:val="16"/>
                <w:lang w:eastAsia="uk-UA" w:bidi="uk-UA"/>
              </w:rPr>
              <w:t xml:space="preserve"> заборон</w:t>
            </w:r>
            <w:r w:rsidRPr="00010E5B">
              <w:rPr>
                <w:rFonts w:ascii="Times New Roman" w:eastAsia="Times New Roman" w:hAnsi="Times New Roman" w:cs="Times New Roman"/>
                <w:color w:val="000000"/>
                <w:sz w:val="16"/>
                <w:szCs w:val="16"/>
                <w:lang w:eastAsia="uk-UA" w:bidi="uk-UA"/>
              </w:rPr>
              <w:t>у</w:t>
            </w:r>
            <w:r w:rsidR="001E6070" w:rsidRPr="00010E5B">
              <w:rPr>
                <w:rFonts w:ascii="Times New Roman" w:eastAsia="Times New Roman" w:hAnsi="Times New Roman" w:cs="Times New Roman"/>
                <w:color w:val="000000"/>
                <w:sz w:val="16"/>
                <w:szCs w:val="16"/>
                <w:lang w:eastAsia="uk-UA" w:bidi="uk-UA"/>
              </w:rPr>
              <w:t xml:space="preserve"> на прийняття рішень чи вчинення дій стосовно юридичних осіб, </w:t>
            </w:r>
            <w:r w:rsidR="00E95B48" w:rsidRPr="00010E5B">
              <w:rPr>
                <w:rFonts w:ascii="Times New Roman" w:eastAsia="Times New Roman" w:hAnsi="Times New Roman" w:cs="Times New Roman"/>
                <w:color w:val="000000"/>
                <w:sz w:val="16"/>
                <w:szCs w:val="16"/>
                <w:lang w:eastAsia="uk-UA" w:bidi="uk-UA"/>
              </w:rPr>
              <w:t xml:space="preserve">засновниками, </w:t>
            </w:r>
            <w:proofErr w:type="spellStart"/>
            <w:r w:rsidR="00E95B48" w:rsidRPr="00010E5B">
              <w:rPr>
                <w:rFonts w:ascii="Times New Roman" w:eastAsia="Times New Roman" w:hAnsi="Times New Roman" w:cs="Times New Roman"/>
                <w:color w:val="000000"/>
                <w:sz w:val="16"/>
                <w:szCs w:val="16"/>
                <w:lang w:eastAsia="uk-UA" w:bidi="uk-UA"/>
              </w:rPr>
              <w:t>бенефіціарами</w:t>
            </w:r>
            <w:proofErr w:type="spellEnd"/>
            <w:r w:rsidR="00E95B48" w:rsidRPr="00010E5B">
              <w:rPr>
                <w:rFonts w:ascii="Times New Roman" w:eastAsia="Times New Roman" w:hAnsi="Times New Roman" w:cs="Times New Roman"/>
                <w:color w:val="000000"/>
                <w:sz w:val="16"/>
                <w:szCs w:val="16"/>
                <w:lang w:eastAsia="uk-UA" w:bidi="uk-UA"/>
              </w:rPr>
              <w:t xml:space="preserve"> чи керівниками яких є сам публічний службовець чи його близькі особи</w:t>
            </w:r>
            <w:r w:rsidR="00151E69" w:rsidRPr="00010E5B">
              <w:rPr>
                <w:rFonts w:ascii="Times New Roman" w:eastAsia="Times New Roman" w:hAnsi="Times New Roman" w:cs="Times New Roman"/>
                <w:color w:val="000000"/>
                <w:sz w:val="16"/>
                <w:szCs w:val="16"/>
                <w:lang w:eastAsia="uk-UA" w:bidi="uk-UA"/>
              </w:rPr>
              <w:t xml:space="preserve"> (3</w:t>
            </w:r>
            <w:r w:rsidRPr="00010E5B">
              <w:rPr>
                <w:rFonts w:ascii="Times New Roman" w:eastAsia="Times New Roman" w:hAnsi="Times New Roman" w:cs="Times New Roman"/>
                <w:color w:val="000000"/>
                <w:sz w:val="16"/>
                <w:szCs w:val="16"/>
                <w:lang w:eastAsia="uk-UA" w:bidi="uk-UA"/>
              </w:rPr>
              <w:t>0%)</w:t>
            </w:r>
            <w:r w:rsidR="00E95B48" w:rsidRPr="00010E5B">
              <w:rPr>
                <w:rFonts w:ascii="Times New Roman" w:eastAsia="Times New Roman" w:hAnsi="Times New Roman" w:cs="Times New Roman"/>
                <w:color w:val="000000"/>
                <w:sz w:val="16"/>
                <w:szCs w:val="16"/>
                <w:lang w:eastAsia="uk-UA" w:bidi="uk-UA"/>
              </w:rPr>
              <w:t>.</w:t>
            </w:r>
          </w:p>
        </w:tc>
        <w:tc>
          <w:tcPr>
            <w:tcW w:w="1134" w:type="dxa"/>
          </w:tcPr>
          <w:p w14:paraId="3BF4A43D"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334D8F74" w14:textId="77777777" w:rsidR="00E95B48" w:rsidRPr="00010E5B" w:rsidRDefault="00E95B48" w:rsidP="00E95B48">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41852012"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2B2C1E9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569E6EB4"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7EA8AE25" w14:textId="77777777" w:rsidTr="00010E5B">
        <w:trPr>
          <w:jc w:val="center"/>
        </w:trPr>
        <w:tc>
          <w:tcPr>
            <w:tcW w:w="2628" w:type="dxa"/>
            <w:vMerge/>
          </w:tcPr>
          <w:p w14:paraId="71CF3C2F"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644C4FF" w14:textId="348CC56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516FEC"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07463019" w14:textId="66AEEDE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xml:space="preserve">, зазначеного в показнику (індикаторі) </w:t>
            </w:r>
            <w:r w:rsidR="00C04E73">
              <w:rPr>
                <w:rFonts w:ascii="Times New Roman" w:eastAsia="Times New Roman" w:hAnsi="Times New Roman" w:cs="Times New Roman"/>
                <w:color w:val="000000"/>
                <w:sz w:val="16"/>
                <w:szCs w:val="16"/>
                <w:lang w:eastAsia="uk-UA" w:bidi="uk-UA"/>
              </w:rPr>
              <w:lastRenderedPageBreak/>
              <w:t>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2AAFF12C" w14:textId="518983A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3AC3E067" w14:textId="12BB010C"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0784AAD6"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10</w:t>
            </w:r>
          </w:p>
        </w:tc>
        <w:tc>
          <w:tcPr>
            <w:tcW w:w="1419" w:type="dxa"/>
          </w:tcPr>
          <w:p w14:paraId="079A77F0"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Експертне опитування, </w:t>
            </w:r>
            <w:r w:rsidRPr="00010E5B">
              <w:rPr>
                <w:rFonts w:ascii="Times New Roman" w:eastAsia="Times New Roman" w:hAnsi="Times New Roman" w:cs="Times New Roman"/>
                <w:color w:val="000000"/>
                <w:sz w:val="16"/>
                <w:szCs w:val="16"/>
                <w:lang w:eastAsia="uk-UA" w:bidi="uk-UA"/>
              </w:rPr>
              <w:lastRenderedPageBreak/>
              <w:t>організоване НАЗК</w:t>
            </w:r>
          </w:p>
        </w:tc>
        <w:tc>
          <w:tcPr>
            <w:tcW w:w="1274" w:type="dxa"/>
          </w:tcPr>
          <w:p w14:paraId="4BF7DB66"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w:t>
            </w:r>
          </w:p>
        </w:tc>
      </w:tr>
      <w:tr w:rsidR="00B17B49" w:rsidRPr="00B17B49" w14:paraId="30A607CD" w14:textId="77777777" w:rsidTr="00010E5B">
        <w:trPr>
          <w:jc w:val="center"/>
        </w:trPr>
        <w:tc>
          <w:tcPr>
            <w:tcW w:w="2628" w:type="dxa"/>
            <w:vMerge w:val="restart"/>
          </w:tcPr>
          <w:p w14:paraId="282DB655" w14:textId="38292F3D" w:rsidR="00E95B48" w:rsidRPr="00010E5B" w:rsidRDefault="00516FEC"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bookmarkStart w:id="1" w:name="_Hlk115270689"/>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.3.1.6.</w:t>
            </w:r>
            <w:r w:rsidR="00E95B48" w:rsidRPr="00010E5B">
              <w:rPr>
                <w:rFonts w:ascii="Times New Roman" w:eastAsia="Times New Roman" w:hAnsi="Times New Roman" w:cs="Times New Roman"/>
                <w:color w:val="000000"/>
                <w:sz w:val="20"/>
                <w:szCs w:val="20"/>
                <w:lang w:eastAsia="uk-UA" w:bidi="uk-UA"/>
              </w:rPr>
              <w:t>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розділами 4-5 Закону, зокрема з використанням IT-інструментів, за результатами яких ефективно виявляються рішення та правочини, ухвалені в умовах конфлікту інтересів, забезпечується належне реагування на виявлені порушення, а також на рішення, прийняті з порушенням вимог Закону</w:t>
            </w:r>
          </w:p>
        </w:tc>
        <w:tc>
          <w:tcPr>
            <w:tcW w:w="8424" w:type="dxa"/>
          </w:tcPr>
          <w:p w14:paraId="7CB89C23" w14:textId="177E2A82" w:rsidR="00516FEC"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Pr="00010E5B">
              <w:rPr>
                <w:rFonts w:ascii="Times New Roman" w:eastAsia="Times New Roman" w:hAnsi="Times New Roman" w:cs="Times New Roman"/>
                <w:color w:val="000000"/>
                <w:sz w:val="20"/>
                <w:szCs w:val="20"/>
                <w:lang w:eastAsia="uk-UA" w:bidi="uk-UA"/>
              </w:rPr>
              <w:t xml:space="preserve"> Набрав чинності Закон, який </w:t>
            </w:r>
            <w:r w:rsidR="00516FEC" w:rsidRPr="00010E5B">
              <w:rPr>
                <w:rFonts w:ascii="Times New Roman" w:eastAsia="Times New Roman" w:hAnsi="Times New Roman" w:cs="Times New Roman"/>
                <w:color w:val="000000"/>
                <w:sz w:val="20"/>
                <w:szCs w:val="20"/>
                <w:lang w:eastAsia="uk-UA" w:bidi="uk-UA"/>
              </w:rPr>
              <w:t xml:space="preserve">сприяє </w:t>
            </w:r>
            <w:r w:rsidRPr="00010E5B">
              <w:rPr>
                <w:rFonts w:ascii="Times New Roman" w:eastAsia="Times New Roman" w:hAnsi="Times New Roman" w:cs="Times New Roman"/>
                <w:color w:val="000000"/>
                <w:sz w:val="20"/>
                <w:szCs w:val="20"/>
                <w:lang w:eastAsia="uk-UA" w:bidi="uk-UA"/>
              </w:rPr>
              <w:t>підвищенню ефективності реалізації НАЗК повноважен</w:t>
            </w:r>
            <w:r w:rsidR="00516FEC" w:rsidRPr="00010E5B">
              <w:rPr>
                <w:rFonts w:ascii="Times New Roman" w:eastAsia="Times New Roman" w:hAnsi="Times New Roman" w:cs="Times New Roman"/>
                <w:color w:val="000000"/>
                <w:sz w:val="20"/>
                <w:szCs w:val="20"/>
                <w:lang w:eastAsia="uk-UA" w:bidi="uk-UA"/>
              </w:rPr>
              <w:t>ь</w:t>
            </w:r>
            <w:r w:rsidRPr="00010E5B">
              <w:rPr>
                <w:rFonts w:ascii="Times New Roman" w:eastAsia="Times New Roman" w:hAnsi="Times New Roman" w:cs="Times New Roman"/>
                <w:color w:val="000000"/>
                <w:sz w:val="20"/>
                <w:szCs w:val="20"/>
                <w:lang w:eastAsia="uk-UA" w:bidi="uk-UA"/>
              </w:rPr>
              <w:t xml:space="preserve"> щодо проведення </w:t>
            </w:r>
            <w:r w:rsidR="00516FEC" w:rsidRPr="00010E5B">
              <w:rPr>
                <w:rFonts w:ascii="Times New Roman" w:eastAsia="Times New Roman" w:hAnsi="Times New Roman" w:cs="Times New Roman"/>
                <w:color w:val="000000"/>
                <w:sz w:val="20"/>
                <w:szCs w:val="20"/>
                <w:lang w:eastAsia="uk-UA" w:bidi="uk-UA"/>
              </w:rPr>
              <w:t xml:space="preserve">ризик-орієнованого </w:t>
            </w:r>
            <w:r w:rsidRPr="00010E5B">
              <w:rPr>
                <w:rFonts w:ascii="Times New Roman" w:eastAsia="Times New Roman" w:hAnsi="Times New Roman" w:cs="Times New Roman"/>
                <w:color w:val="000000"/>
                <w:sz w:val="20"/>
                <w:szCs w:val="20"/>
                <w:lang w:eastAsia="uk-UA" w:bidi="uk-UA"/>
              </w:rPr>
              <w:t xml:space="preserve">моніторингу, зокрема: </w:t>
            </w:r>
          </w:p>
          <w:p w14:paraId="514AF2EF" w14:textId="6BE6593F" w:rsidR="00BA7F8A" w:rsidRPr="00010E5B" w:rsidRDefault="00516FEC"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1C3764" w:rsidRPr="001C3764">
              <w:rPr>
                <w:rFonts w:ascii="Times New Roman" w:eastAsia="Times New Roman" w:hAnsi="Times New Roman" w:cs="Times New Roman"/>
                <w:color w:val="000000"/>
                <w:sz w:val="16"/>
                <w:szCs w:val="16"/>
                <w:lang w:eastAsia="uk-UA" w:bidi="uk-UA"/>
              </w:rPr>
              <w:t>визначено повноваження НАЗК щодо здійснення моніторингу, предметом якого, крім</w:t>
            </w:r>
            <w:r w:rsidR="001C3764">
              <w:rPr>
                <w:rFonts w:ascii="Times New Roman" w:eastAsia="Times New Roman" w:hAnsi="Times New Roman" w:cs="Times New Roman"/>
                <w:color w:val="000000"/>
                <w:sz w:val="16"/>
                <w:szCs w:val="16"/>
                <w:lang w:eastAsia="uk-UA" w:bidi="uk-UA"/>
              </w:rPr>
              <w:t xml:space="preserve"> встановленого</w:t>
            </w:r>
            <w:r w:rsidR="001C3764" w:rsidRPr="001C3764">
              <w:rPr>
                <w:rFonts w:ascii="Times New Roman" w:eastAsia="Times New Roman" w:hAnsi="Times New Roman" w:cs="Times New Roman"/>
                <w:color w:val="000000"/>
                <w:sz w:val="16"/>
                <w:szCs w:val="16"/>
                <w:lang w:eastAsia="uk-UA" w:bidi="uk-UA"/>
              </w:rPr>
              <w:t xml:space="preserve"> наразі, є дотримання інших вимог та обмежень, </w:t>
            </w:r>
            <w:r w:rsidR="001C3764">
              <w:rPr>
                <w:rFonts w:ascii="Times New Roman" w:eastAsia="Times New Roman" w:hAnsi="Times New Roman" w:cs="Times New Roman"/>
                <w:color w:val="000000"/>
                <w:sz w:val="16"/>
                <w:szCs w:val="16"/>
                <w:lang w:eastAsia="uk-UA" w:bidi="uk-UA"/>
              </w:rPr>
              <w:t>передбачених</w:t>
            </w:r>
            <w:r w:rsidR="001C3764" w:rsidRPr="001C3764">
              <w:rPr>
                <w:rFonts w:ascii="Times New Roman" w:eastAsia="Times New Roman" w:hAnsi="Times New Roman" w:cs="Times New Roman"/>
                <w:color w:val="000000"/>
                <w:sz w:val="16"/>
                <w:szCs w:val="16"/>
                <w:lang w:eastAsia="uk-UA" w:bidi="uk-UA"/>
              </w:rPr>
              <w:t xml:space="preserve"> у розділах 4-5 Закону України «Про запобігання корупції», покликаних запобігати виникненню конфлікту інтересів;</w:t>
            </w:r>
            <w:r w:rsidR="001C3764" w:rsidRPr="001C3764" w:rsidDel="001C3764">
              <w:rPr>
                <w:rFonts w:ascii="Times New Roman" w:eastAsia="Times New Roman" w:hAnsi="Times New Roman" w:cs="Times New Roman"/>
                <w:color w:val="000000"/>
                <w:sz w:val="16"/>
                <w:szCs w:val="16"/>
                <w:lang w:eastAsia="uk-UA" w:bidi="uk-UA"/>
              </w:rPr>
              <w:t xml:space="preserve"> </w:t>
            </w:r>
            <w:r w:rsidR="00BA7F8A" w:rsidRPr="00010E5B">
              <w:rPr>
                <w:rFonts w:ascii="Times New Roman" w:eastAsia="Times New Roman" w:hAnsi="Times New Roman" w:cs="Times New Roman"/>
                <w:color w:val="000000"/>
                <w:sz w:val="16"/>
                <w:szCs w:val="16"/>
                <w:lang w:eastAsia="uk-UA" w:bidi="uk-UA"/>
              </w:rPr>
              <w:t>(</w:t>
            </w:r>
            <w:r w:rsidR="00654C83">
              <w:rPr>
                <w:rFonts w:ascii="Times New Roman" w:eastAsia="Times New Roman" w:hAnsi="Times New Roman" w:cs="Times New Roman"/>
                <w:color w:val="000000"/>
                <w:sz w:val="16"/>
                <w:szCs w:val="16"/>
                <w:lang w:eastAsia="uk-UA" w:bidi="uk-UA"/>
              </w:rPr>
              <w:t>20</w:t>
            </w:r>
            <w:r w:rsidR="00BA7F8A" w:rsidRPr="00010E5B">
              <w:rPr>
                <w:rFonts w:ascii="Times New Roman" w:eastAsia="Times New Roman" w:hAnsi="Times New Roman" w:cs="Times New Roman"/>
                <w:color w:val="000000"/>
                <w:sz w:val="16"/>
                <w:szCs w:val="16"/>
                <w:lang w:eastAsia="uk-UA" w:bidi="uk-UA"/>
              </w:rPr>
              <w:t>%);</w:t>
            </w:r>
          </w:p>
          <w:p w14:paraId="43569D5B" w14:textId="7EFAA485" w:rsidR="00516FEC" w:rsidRPr="00010E5B" w:rsidRDefault="00BA7F8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proofErr w:type="spellStart"/>
            <w:r w:rsidRPr="00010E5B">
              <w:rPr>
                <w:rFonts w:ascii="Times New Roman" w:eastAsia="Times New Roman" w:hAnsi="Times New Roman" w:cs="Times New Roman"/>
                <w:color w:val="000000"/>
                <w:sz w:val="16"/>
                <w:szCs w:val="16"/>
                <w:lang w:eastAsia="uk-UA" w:bidi="uk-UA"/>
              </w:rPr>
              <w:t>усун</w:t>
            </w:r>
            <w:r w:rsidR="002C122C" w:rsidRPr="00010E5B">
              <w:rPr>
                <w:rFonts w:ascii="Times New Roman" w:eastAsia="Times New Roman" w:hAnsi="Times New Roman" w:cs="Times New Roman"/>
                <w:color w:val="000000"/>
                <w:sz w:val="16"/>
                <w:szCs w:val="16"/>
                <w:lang w:eastAsia="uk-UA" w:bidi="uk-UA"/>
              </w:rPr>
              <w:t>ено</w:t>
            </w:r>
            <w:proofErr w:type="spellEnd"/>
            <w:r w:rsidRPr="00010E5B">
              <w:rPr>
                <w:rFonts w:ascii="Times New Roman" w:eastAsia="Times New Roman" w:hAnsi="Times New Roman" w:cs="Times New Roman"/>
                <w:color w:val="000000"/>
                <w:sz w:val="16"/>
                <w:szCs w:val="16"/>
                <w:lang w:eastAsia="uk-UA" w:bidi="uk-UA"/>
              </w:rPr>
              <w:t xml:space="preserve"> </w:t>
            </w:r>
            <w:r w:rsidR="00516FEC" w:rsidRPr="00010E5B">
              <w:rPr>
                <w:rFonts w:ascii="Times New Roman" w:eastAsia="Times New Roman" w:hAnsi="Times New Roman" w:cs="Times New Roman"/>
                <w:color w:val="000000"/>
                <w:sz w:val="16"/>
                <w:szCs w:val="16"/>
                <w:lang w:eastAsia="uk-UA" w:bidi="uk-UA"/>
              </w:rPr>
              <w:t>неточності у формулюваннях прав НАЗК у ст. 12 Закону України «Про запобігання корупції»</w:t>
            </w:r>
            <w:r w:rsidR="001C3764">
              <w:rPr>
                <w:rFonts w:ascii="Times New Roman" w:eastAsia="Times New Roman" w:hAnsi="Times New Roman" w:cs="Times New Roman"/>
                <w:color w:val="000000"/>
                <w:sz w:val="16"/>
                <w:szCs w:val="16"/>
                <w:lang w:eastAsia="uk-UA" w:bidi="uk-UA"/>
              </w:rPr>
              <w:t xml:space="preserve"> щодо</w:t>
            </w:r>
            <w:r w:rsidR="001C3764" w:rsidRPr="001C3764">
              <w:rPr>
                <w:rFonts w:ascii="Times New Roman" w:eastAsia="Times New Roman" w:hAnsi="Times New Roman" w:cs="Times New Roman"/>
                <w:color w:val="000000"/>
                <w:sz w:val="16"/>
                <w:szCs w:val="16"/>
                <w:lang w:eastAsia="uk-UA" w:bidi="uk-UA"/>
              </w:rPr>
              <w:t xml:space="preserve"> отримання інформації та документів, вжиття заходів реагування у зв’язку із виявленням порушень вимог Закону</w:t>
            </w:r>
            <w:r w:rsidRPr="00010E5B">
              <w:rPr>
                <w:rFonts w:ascii="Times New Roman" w:eastAsia="Times New Roman" w:hAnsi="Times New Roman" w:cs="Times New Roman"/>
                <w:color w:val="000000"/>
                <w:sz w:val="16"/>
                <w:szCs w:val="16"/>
                <w:lang w:eastAsia="uk-UA" w:bidi="uk-UA"/>
              </w:rPr>
              <w:t xml:space="preserve"> (</w:t>
            </w:r>
            <w:r w:rsidR="00654C83">
              <w:rPr>
                <w:rFonts w:ascii="Times New Roman" w:eastAsia="Times New Roman" w:hAnsi="Times New Roman" w:cs="Times New Roman"/>
                <w:color w:val="000000"/>
                <w:sz w:val="16"/>
                <w:szCs w:val="16"/>
                <w:lang w:eastAsia="uk-UA" w:bidi="uk-UA"/>
              </w:rPr>
              <w:t>20</w:t>
            </w:r>
            <w:r w:rsidRPr="00010E5B">
              <w:rPr>
                <w:rFonts w:ascii="Times New Roman" w:eastAsia="Times New Roman" w:hAnsi="Times New Roman" w:cs="Times New Roman"/>
                <w:color w:val="000000"/>
                <w:sz w:val="16"/>
                <w:szCs w:val="16"/>
                <w:lang w:eastAsia="uk-UA" w:bidi="uk-UA"/>
              </w:rPr>
              <w:t>%)</w:t>
            </w:r>
            <w:r w:rsidR="00516FEC" w:rsidRPr="00010E5B">
              <w:rPr>
                <w:rFonts w:ascii="Times New Roman" w:eastAsia="Times New Roman" w:hAnsi="Times New Roman" w:cs="Times New Roman"/>
                <w:color w:val="000000"/>
                <w:sz w:val="16"/>
                <w:szCs w:val="16"/>
                <w:lang w:eastAsia="uk-UA" w:bidi="uk-UA"/>
              </w:rPr>
              <w:t>;</w:t>
            </w:r>
          </w:p>
          <w:p w14:paraId="6CDF806D" w14:textId="3A331A8B" w:rsidR="00E95B48" w:rsidRPr="00010E5B" w:rsidRDefault="00BA7F8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proofErr w:type="spellStart"/>
            <w:r w:rsidRPr="00010E5B">
              <w:rPr>
                <w:rFonts w:ascii="Times New Roman" w:eastAsia="Times New Roman" w:hAnsi="Times New Roman" w:cs="Times New Roman"/>
                <w:color w:val="000000"/>
                <w:sz w:val="16"/>
                <w:szCs w:val="16"/>
                <w:lang w:eastAsia="uk-UA" w:bidi="uk-UA"/>
              </w:rPr>
              <w:t>усун</w:t>
            </w:r>
            <w:r w:rsidR="002C122C" w:rsidRPr="00010E5B">
              <w:rPr>
                <w:rFonts w:ascii="Times New Roman" w:eastAsia="Times New Roman" w:hAnsi="Times New Roman" w:cs="Times New Roman"/>
                <w:color w:val="000000"/>
                <w:sz w:val="16"/>
                <w:szCs w:val="16"/>
                <w:lang w:eastAsia="uk-UA" w:bidi="uk-UA"/>
              </w:rPr>
              <w:t>ено</w:t>
            </w:r>
            <w:proofErr w:type="spellEnd"/>
            <w:r w:rsidRPr="00010E5B">
              <w:rPr>
                <w:rFonts w:ascii="Times New Roman" w:eastAsia="Times New Roman" w:hAnsi="Times New Roman" w:cs="Times New Roman"/>
                <w:color w:val="000000"/>
                <w:sz w:val="16"/>
                <w:szCs w:val="16"/>
                <w:lang w:eastAsia="uk-UA" w:bidi="uk-UA"/>
              </w:rPr>
              <w:t xml:space="preserve"> </w:t>
            </w:r>
            <w:r w:rsidR="00516FEC" w:rsidRPr="00010E5B">
              <w:rPr>
                <w:rFonts w:ascii="Times New Roman" w:eastAsia="Times New Roman" w:hAnsi="Times New Roman" w:cs="Times New Roman"/>
                <w:color w:val="000000"/>
                <w:sz w:val="16"/>
                <w:szCs w:val="16"/>
                <w:lang w:eastAsia="uk-UA" w:bidi="uk-UA"/>
              </w:rPr>
              <w:t xml:space="preserve">неузгодженість положень Закону України «Про запобігання корупції» з нормами інших законів, </w:t>
            </w:r>
            <w:r w:rsidRPr="00010E5B">
              <w:rPr>
                <w:rFonts w:ascii="Times New Roman" w:eastAsia="Times New Roman" w:hAnsi="Times New Roman" w:cs="Times New Roman"/>
                <w:color w:val="000000"/>
                <w:sz w:val="16"/>
                <w:szCs w:val="16"/>
                <w:lang w:eastAsia="uk-UA" w:bidi="uk-UA"/>
              </w:rPr>
              <w:t>яка унеможливлює</w:t>
            </w:r>
            <w:r w:rsidR="00516FEC" w:rsidRPr="00010E5B">
              <w:rPr>
                <w:rFonts w:ascii="Times New Roman" w:eastAsia="Times New Roman" w:hAnsi="Times New Roman" w:cs="Times New Roman"/>
                <w:color w:val="000000"/>
                <w:sz w:val="16"/>
                <w:szCs w:val="16"/>
                <w:lang w:eastAsia="uk-UA" w:bidi="uk-UA"/>
              </w:rPr>
              <w:t xml:space="preserve"> отримання певних видів інформації з обмеженим доступом</w:t>
            </w:r>
            <w:r w:rsidR="00453C0C">
              <w:rPr>
                <w:rFonts w:ascii="Times New Roman" w:eastAsia="Times New Roman" w:hAnsi="Times New Roman" w:cs="Times New Roman"/>
                <w:color w:val="000000"/>
                <w:sz w:val="16"/>
                <w:szCs w:val="16"/>
                <w:lang w:eastAsia="uk-UA" w:bidi="uk-UA"/>
              </w:rPr>
              <w:t xml:space="preserve">: інформації, що містить </w:t>
            </w:r>
            <w:r w:rsidR="00453C0C" w:rsidRPr="00453C0C">
              <w:rPr>
                <w:rFonts w:ascii="Times New Roman" w:eastAsia="Times New Roman" w:hAnsi="Times New Roman" w:cs="Times New Roman"/>
                <w:color w:val="000000"/>
                <w:sz w:val="16"/>
                <w:szCs w:val="16"/>
                <w:lang w:eastAsia="uk-UA" w:bidi="uk-UA"/>
              </w:rPr>
              <w:t>таємницю досу</w:t>
            </w:r>
            <w:r w:rsidR="00453C0C">
              <w:rPr>
                <w:rFonts w:ascii="Times New Roman" w:eastAsia="Times New Roman" w:hAnsi="Times New Roman" w:cs="Times New Roman"/>
                <w:color w:val="000000"/>
                <w:sz w:val="16"/>
                <w:szCs w:val="16"/>
                <w:lang w:eastAsia="uk-UA" w:bidi="uk-UA"/>
              </w:rPr>
              <w:t xml:space="preserve">дового розслідування, </w:t>
            </w:r>
            <w:r w:rsidR="00453C0C" w:rsidRPr="00453C0C">
              <w:rPr>
                <w:rFonts w:ascii="Times New Roman" w:eastAsia="Times New Roman" w:hAnsi="Times New Roman" w:cs="Times New Roman"/>
                <w:color w:val="000000"/>
                <w:sz w:val="16"/>
                <w:szCs w:val="16"/>
                <w:lang w:eastAsia="uk-UA" w:bidi="uk-UA"/>
              </w:rPr>
              <w:t>стосуєть</w:t>
            </w:r>
            <w:r w:rsidR="00453C0C">
              <w:rPr>
                <w:rFonts w:ascii="Times New Roman" w:eastAsia="Times New Roman" w:hAnsi="Times New Roman" w:cs="Times New Roman"/>
                <w:color w:val="000000"/>
                <w:sz w:val="16"/>
                <w:szCs w:val="16"/>
                <w:lang w:eastAsia="uk-UA" w:bidi="uk-UA"/>
              </w:rPr>
              <w:t xml:space="preserve">ся митної справи, </w:t>
            </w:r>
            <w:r w:rsidR="00453C0C" w:rsidRPr="00453C0C">
              <w:rPr>
                <w:rFonts w:ascii="Times New Roman" w:eastAsia="Times New Roman" w:hAnsi="Times New Roman" w:cs="Times New Roman"/>
                <w:color w:val="000000"/>
                <w:sz w:val="16"/>
                <w:szCs w:val="16"/>
                <w:lang w:eastAsia="uk-UA" w:bidi="uk-UA"/>
              </w:rPr>
              <w:t>дані, що становлять банківську таємницю</w:t>
            </w:r>
            <w:r w:rsidR="009F677D">
              <w:rPr>
                <w:rFonts w:ascii="Times New Roman" w:eastAsia="Times New Roman" w:hAnsi="Times New Roman" w:cs="Times New Roman"/>
                <w:color w:val="000000"/>
                <w:sz w:val="16"/>
                <w:szCs w:val="16"/>
                <w:lang w:eastAsia="uk-UA" w:bidi="uk-UA"/>
              </w:rPr>
              <w:t xml:space="preserve"> </w:t>
            </w:r>
            <w:r w:rsidR="009F677D" w:rsidRPr="009F677D">
              <w:rPr>
                <w:rFonts w:ascii="Times New Roman" w:eastAsia="Times New Roman" w:hAnsi="Times New Roman" w:cs="Times New Roman"/>
                <w:color w:val="000000"/>
                <w:sz w:val="16"/>
                <w:szCs w:val="16"/>
                <w:lang w:eastAsia="uk-UA" w:bidi="uk-UA"/>
              </w:rPr>
              <w:t>(інформація, якою володіє Національний банк України)</w:t>
            </w:r>
            <w:r w:rsidR="009F677D">
              <w:rPr>
                <w:rFonts w:ascii="Times New Roman" w:eastAsia="Times New Roman" w:hAnsi="Times New Roman" w:cs="Times New Roman"/>
                <w:color w:val="000000"/>
                <w:sz w:val="16"/>
                <w:szCs w:val="16"/>
                <w:lang w:eastAsia="uk-UA" w:bidi="uk-UA"/>
              </w:rPr>
              <w:t xml:space="preserve">, а також від </w:t>
            </w:r>
            <w:r w:rsidR="009F677D" w:rsidRPr="009F677D">
              <w:rPr>
                <w:rFonts w:ascii="Times New Roman" w:eastAsia="Times New Roman" w:hAnsi="Times New Roman" w:cs="Times New Roman"/>
                <w:color w:val="000000"/>
                <w:sz w:val="16"/>
                <w:szCs w:val="16"/>
                <w:lang w:eastAsia="uk-UA" w:bidi="uk-UA"/>
              </w:rPr>
              <w:t>Державно</w:t>
            </w:r>
            <w:r w:rsidR="009F677D">
              <w:rPr>
                <w:rFonts w:ascii="Times New Roman" w:eastAsia="Times New Roman" w:hAnsi="Times New Roman" w:cs="Times New Roman"/>
                <w:color w:val="000000"/>
                <w:sz w:val="16"/>
                <w:szCs w:val="16"/>
                <w:lang w:eastAsia="uk-UA" w:bidi="uk-UA"/>
              </w:rPr>
              <w:t xml:space="preserve">ї </w:t>
            </w:r>
            <w:r w:rsidR="009F677D" w:rsidRPr="009F677D">
              <w:rPr>
                <w:rFonts w:ascii="Times New Roman" w:eastAsia="Times New Roman" w:hAnsi="Times New Roman" w:cs="Times New Roman"/>
                <w:color w:val="000000"/>
                <w:sz w:val="16"/>
                <w:szCs w:val="16"/>
                <w:lang w:eastAsia="uk-UA" w:bidi="uk-UA"/>
              </w:rPr>
              <w:t>служб</w:t>
            </w:r>
            <w:r w:rsidR="009F677D">
              <w:rPr>
                <w:rFonts w:ascii="Times New Roman" w:eastAsia="Times New Roman" w:hAnsi="Times New Roman" w:cs="Times New Roman"/>
                <w:color w:val="000000"/>
                <w:sz w:val="16"/>
                <w:szCs w:val="16"/>
                <w:lang w:eastAsia="uk-UA" w:bidi="uk-UA"/>
              </w:rPr>
              <w:t>и</w:t>
            </w:r>
            <w:r w:rsidR="009F677D" w:rsidRPr="009F677D">
              <w:rPr>
                <w:rFonts w:ascii="Times New Roman" w:eastAsia="Times New Roman" w:hAnsi="Times New Roman" w:cs="Times New Roman"/>
                <w:color w:val="000000"/>
                <w:sz w:val="16"/>
                <w:szCs w:val="16"/>
                <w:lang w:eastAsia="uk-UA" w:bidi="uk-UA"/>
              </w:rPr>
              <w:t xml:space="preserve"> фінансового моніторингу</w:t>
            </w:r>
            <w:r w:rsidRPr="00010E5B">
              <w:rPr>
                <w:rFonts w:ascii="Times New Roman" w:eastAsia="Times New Roman" w:hAnsi="Times New Roman" w:cs="Times New Roman"/>
                <w:color w:val="000000"/>
                <w:sz w:val="16"/>
                <w:szCs w:val="16"/>
                <w:lang w:eastAsia="uk-UA" w:bidi="uk-UA"/>
              </w:rPr>
              <w:t>(15%).</w:t>
            </w:r>
          </w:p>
        </w:tc>
        <w:tc>
          <w:tcPr>
            <w:tcW w:w="1134" w:type="dxa"/>
          </w:tcPr>
          <w:p w14:paraId="554EC3AB" w14:textId="70866C0A" w:rsidR="00E95B48" w:rsidRPr="00010E5B" w:rsidRDefault="00654C83" w:rsidP="00E95B48">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55</w:t>
            </w:r>
          </w:p>
        </w:tc>
        <w:tc>
          <w:tcPr>
            <w:tcW w:w="1419" w:type="dxa"/>
          </w:tcPr>
          <w:p w14:paraId="49B54A84" w14:textId="77777777" w:rsidR="00E95B48" w:rsidRPr="00010E5B" w:rsidRDefault="00E95B48" w:rsidP="008E3A86">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4AF88A29" w14:textId="77777777" w:rsidR="00E95B48" w:rsidRPr="00010E5B" w:rsidRDefault="00E95B48" w:rsidP="008E3A86">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3BD9296D"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15170EF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bookmarkEnd w:id="1"/>
      <w:tr w:rsidR="00CE520E" w:rsidRPr="004657C1" w14:paraId="43118AE0" w14:textId="77777777" w:rsidTr="00010E5B">
        <w:trPr>
          <w:jc w:val="center"/>
        </w:trPr>
        <w:tc>
          <w:tcPr>
            <w:tcW w:w="2628" w:type="dxa"/>
            <w:vMerge/>
          </w:tcPr>
          <w:p w14:paraId="6C8616CA"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5495AA4" w14:textId="5E317D24" w:rsidR="00CE520E" w:rsidRPr="00E15EE6"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D04578">
              <w:rPr>
                <w:rFonts w:ascii="Times New Roman" w:eastAsia="Times New Roman" w:hAnsi="Times New Roman" w:cs="Times New Roman"/>
                <w:b/>
                <w:color w:val="000000"/>
                <w:sz w:val="20"/>
                <w:szCs w:val="20"/>
                <w:lang w:eastAsia="uk-UA" w:bidi="uk-UA"/>
              </w:rPr>
              <w:t>2.</w:t>
            </w:r>
            <w:r w:rsidRPr="00D04578">
              <w:rPr>
                <w:rFonts w:ascii="Times New Roman" w:eastAsia="Times New Roman" w:hAnsi="Times New Roman" w:cs="Times New Roman"/>
                <w:color w:val="000000"/>
                <w:sz w:val="20"/>
                <w:szCs w:val="20"/>
                <w:lang w:eastAsia="uk-UA" w:bidi="uk-UA"/>
              </w:rPr>
              <w:t xml:space="preserve"> Технічні передумови для запровадження ризик-орієнтованого моніторингу за дотриманням вимог щодо запобігання та врегулювання конфлікту інтересів та пов’язаних з ним обмежень, визначених розділами 4-5 Закону України «Про запобігання корупції», створено:</w:t>
            </w:r>
          </w:p>
          <w:p w14:paraId="5A270B43" w14:textId="77777777" w:rsidR="00CE520E" w:rsidRPr="00D04578" w:rsidRDefault="00CE520E"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D04578">
              <w:rPr>
                <w:rFonts w:ascii="Times New Roman" w:eastAsia="Times New Roman" w:hAnsi="Times New Roman" w:cs="Times New Roman"/>
                <w:color w:val="000000"/>
                <w:sz w:val="16"/>
                <w:szCs w:val="16"/>
                <w:lang w:eastAsia="uk-UA" w:bidi="uk-UA"/>
              </w:rPr>
              <w:t>- запроваджено</w:t>
            </w:r>
            <w:r w:rsidRPr="00E15EE6">
              <w:rPr>
                <w:rFonts w:ascii="Times New Roman" w:eastAsia="Times New Roman" w:hAnsi="Times New Roman" w:cs="Times New Roman"/>
                <w:color w:val="000000"/>
                <w:sz w:val="16"/>
                <w:szCs w:val="16"/>
                <w:lang w:eastAsia="uk-UA" w:bidi="uk-UA"/>
              </w:rPr>
              <w:t xml:space="preserve"> </w:t>
            </w:r>
            <w:r w:rsidRPr="00D04578">
              <w:rPr>
                <w:rFonts w:ascii="Times New Roman" w:eastAsia="Times New Roman" w:hAnsi="Times New Roman" w:cs="Times New Roman"/>
                <w:color w:val="000000"/>
                <w:sz w:val="16"/>
                <w:szCs w:val="16"/>
                <w:lang w:eastAsia="uk-UA" w:bidi="uk-UA"/>
              </w:rPr>
              <w:t>систему ранжування та аналізу інформації, що міститься в інформаційно-технічній системі Реєстр декларацій, яка вказує на ризики порушення вимог законодавства щодо запобігання та врегулювання конфлікту інтересів суб’єктами декларування (15%);</w:t>
            </w:r>
          </w:p>
          <w:p w14:paraId="330D9FDD" w14:textId="5F3FF618" w:rsidR="00CE520E" w:rsidRPr="00E15EE6" w:rsidRDefault="00CE520E" w:rsidP="00C141B2">
            <w:pPr>
              <w:widowControl w:val="0"/>
              <w:tabs>
                <w:tab w:val="left" w:pos="1274"/>
              </w:tabs>
              <w:ind w:firstLine="284"/>
              <w:jc w:val="both"/>
              <w:rPr>
                <w:rFonts w:ascii="Times New Roman" w:eastAsia="Times New Roman" w:hAnsi="Times New Roman" w:cs="Times New Roman"/>
                <w:color w:val="000000"/>
                <w:sz w:val="20"/>
                <w:szCs w:val="20"/>
                <w:highlight w:val="yellow"/>
                <w:lang w:eastAsia="uk-UA" w:bidi="uk-UA"/>
              </w:rPr>
            </w:pPr>
            <w:r w:rsidRPr="00D04578">
              <w:rPr>
                <w:rFonts w:ascii="Times New Roman" w:eastAsia="Times New Roman" w:hAnsi="Times New Roman" w:cs="Times New Roman"/>
                <w:color w:val="000000"/>
                <w:sz w:val="16"/>
                <w:szCs w:val="16"/>
                <w:lang w:eastAsia="uk-UA" w:bidi="uk-UA"/>
              </w:rPr>
              <w:t>- портал «Приховані інтереси» перебуває на балансі НАЗК</w:t>
            </w:r>
            <w:r w:rsidRPr="00E15EE6">
              <w:rPr>
                <w:rFonts w:ascii="Times New Roman" w:eastAsia="Times New Roman" w:hAnsi="Times New Roman" w:cs="Times New Roman"/>
                <w:color w:val="000000"/>
                <w:sz w:val="16"/>
                <w:szCs w:val="16"/>
                <w:lang w:val="ru-RU" w:eastAsia="uk-UA" w:bidi="uk-UA"/>
              </w:rPr>
              <w:t xml:space="preserve"> </w:t>
            </w:r>
            <w:r w:rsidRPr="00D04578">
              <w:rPr>
                <w:rFonts w:ascii="Times New Roman" w:eastAsia="Times New Roman" w:hAnsi="Times New Roman" w:cs="Times New Roman"/>
                <w:color w:val="000000"/>
                <w:sz w:val="16"/>
                <w:szCs w:val="16"/>
                <w:lang w:eastAsia="uk-UA" w:bidi="uk-UA"/>
              </w:rPr>
              <w:t>(15%).</w:t>
            </w:r>
          </w:p>
        </w:tc>
        <w:tc>
          <w:tcPr>
            <w:tcW w:w="1134" w:type="dxa"/>
          </w:tcPr>
          <w:p w14:paraId="2CBAAC37" w14:textId="6C79F578"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30</w:t>
            </w:r>
          </w:p>
        </w:tc>
        <w:tc>
          <w:tcPr>
            <w:tcW w:w="1419" w:type="dxa"/>
          </w:tcPr>
          <w:p w14:paraId="106D8609" w14:textId="168C7A53"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D04578">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веб сайт</w:t>
            </w:r>
            <w:r w:rsidRPr="00D04578">
              <w:rPr>
                <w:rFonts w:ascii="Times New Roman" w:eastAsia="Times New Roman" w:hAnsi="Times New Roman" w:cs="Times New Roman"/>
                <w:color w:val="000000"/>
                <w:sz w:val="16"/>
                <w:szCs w:val="16"/>
                <w:lang w:eastAsia="uk-UA" w:bidi="uk-UA"/>
              </w:rPr>
              <w:t xml:space="preserve"> НАЗК</w:t>
            </w:r>
          </w:p>
        </w:tc>
        <w:tc>
          <w:tcPr>
            <w:tcW w:w="1274" w:type="dxa"/>
          </w:tcPr>
          <w:p w14:paraId="54BBC8C2" w14:textId="49616844" w:rsidR="00CE520E" w:rsidRPr="00010E5B" w:rsidRDefault="00CE520E">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Систему ранжування та аналізу інформації, розширені функції порталу</w:t>
            </w:r>
          </w:p>
        </w:tc>
      </w:tr>
      <w:tr w:rsidR="00CE520E" w:rsidRPr="00B17B49" w14:paraId="74355A9E" w14:textId="77777777" w:rsidTr="00010E5B">
        <w:trPr>
          <w:jc w:val="center"/>
        </w:trPr>
        <w:tc>
          <w:tcPr>
            <w:tcW w:w="2628" w:type="dxa"/>
            <w:vMerge/>
          </w:tcPr>
          <w:p w14:paraId="13098965"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1B4C9186" w14:textId="047C12DA" w:rsidR="00CE520E" w:rsidRPr="00E15EE6" w:rsidRDefault="00CE520E" w:rsidP="00C141B2">
            <w:pPr>
              <w:widowControl w:val="0"/>
              <w:tabs>
                <w:tab w:val="left" w:pos="1274"/>
              </w:tabs>
              <w:ind w:firstLine="284"/>
              <w:jc w:val="both"/>
              <w:rPr>
                <w:rFonts w:ascii="Times New Roman" w:eastAsia="Times New Roman" w:hAnsi="Times New Roman" w:cs="Times New Roman"/>
                <w:b/>
                <w:color w:val="000000"/>
                <w:sz w:val="20"/>
                <w:szCs w:val="20"/>
                <w:lang w:eastAsia="uk-UA" w:bidi="uk-UA"/>
              </w:rPr>
            </w:pPr>
            <w:r w:rsidRPr="00D04578">
              <w:rPr>
                <w:rFonts w:ascii="Times New Roman" w:eastAsia="Times New Roman" w:hAnsi="Times New Roman" w:cs="Times New Roman"/>
                <w:b/>
                <w:color w:val="000000"/>
                <w:sz w:val="20"/>
                <w:szCs w:val="20"/>
                <w:lang w:eastAsia="uk-UA" w:bidi="uk-UA"/>
              </w:rPr>
              <w:t>3.</w:t>
            </w:r>
            <w:r w:rsidRPr="00D04578">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Ч</w:t>
            </w:r>
            <w:r w:rsidRPr="00D04578">
              <w:rPr>
                <w:rFonts w:ascii="Times New Roman" w:eastAsia="Times New Roman" w:hAnsi="Times New Roman" w:cs="Times New Roman"/>
                <w:color w:val="000000"/>
                <w:sz w:val="20"/>
                <w:szCs w:val="20"/>
                <w:lang w:eastAsia="uk-UA" w:bidi="uk-UA"/>
              </w:rPr>
              <w:t xml:space="preserve">астка рішень та правочинів, ухвалених в умовах конфлікту інтересів, виявлених за допомогою ІТ-інструментів, </w:t>
            </w:r>
            <w:r w:rsidR="00C04E73" w:rsidRPr="00C04E73">
              <w:rPr>
                <w:rFonts w:ascii="Times New Roman" w:eastAsia="Times New Roman" w:hAnsi="Times New Roman" w:cs="Times New Roman"/>
                <w:color w:val="000000"/>
                <w:sz w:val="20"/>
                <w:szCs w:val="20"/>
                <w:lang w:eastAsia="uk-UA" w:bidi="uk-UA"/>
              </w:rPr>
              <w:t>зазначен</w:t>
            </w:r>
            <w:r w:rsidR="00C04E73">
              <w:rPr>
                <w:rFonts w:ascii="Times New Roman" w:eastAsia="Times New Roman" w:hAnsi="Times New Roman" w:cs="Times New Roman"/>
                <w:color w:val="000000"/>
                <w:sz w:val="20"/>
                <w:szCs w:val="20"/>
                <w:lang w:eastAsia="uk-UA" w:bidi="uk-UA"/>
              </w:rPr>
              <w:t>их</w:t>
            </w:r>
            <w:r w:rsidR="00C04E73" w:rsidRPr="00C04E73">
              <w:rPr>
                <w:rFonts w:ascii="Times New Roman" w:eastAsia="Times New Roman" w:hAnsi="Times New Roman" w:cs="Times New Roman"/>
                <w:color w:val="000000"/>
                <w:sz w:val="20"/>
                <w:szCs w:val="20"/>
                <w:lang w:eastAsia="uk-UA" w:bidi="uk-UA"/>
              </w:rPr>
              <w:t xml:space="preserve"> в показнику (індикаторі) досягнення № </w:t>
            </w:r>
            <w:r w:rsidR="00C04E73">
              <w:rPr>
                <w:rFonts w:ascii="Times New Roman" w:eastAsia="Times New Roman" w:hAnsi="Times New Roman" w:cs="Times New Roman"/>
                <w:color w:val="000000"/>
                <w:sz w:val="20"/>
                <w:szCs w:val="20"/>
                <w:lang w:eastAsia="uk-UA" w:bidi="uk-UA"/>
              </w:rPr>
              <w:t>2</w:t>
            </w:r>
            <w:r w:rsidR="00C04E73" w:rsidRPr="00C04E73">
              <w:rPr>
                <w:rFonts w:ascii="Times New Roman" w:eastAsia="Times New Roman" w:hAnsi="Times New Roman" w:cs="Times New Roman"/>
                <w:color w:val="000000"/>
                <w:sz w:val="20"/>
                <w:szCs w:val="20"/>
                <w:lang w:eastAsia="uk-UA" w:bidi="uk-UA"/>
              </w:rPr>
              <w:t xml:space="preserve"> очікуваного стратегічного результату 1.3.1.</w:t>
            </w:r>
            <w:r w:rsidR="00C04E73">
              <w:rPr>
                <w:rFonts w:ascii="Times New Roman" w:eastAsia="Times New Roman" w:hAnsi="Times New Roman" w:cs="Times New Roman"/>
                <w:color w:val="000000"/>
                <w:sz w:val="20"/>
                <w:szCs w:val="20"/>
                <w:lang w:eastAsia="uk-UA" w:bidi="uk-UA"/>
              </w:rPr>
              <w:t>6.</w:t>
            </w:r>
            <w:r w:rsidRPr="00D04578">
              <w:rPr>
                <w:rFonts w:ascii="Times New Roman" w:eastAsia="Times New Roman" w:hAnsi="Times New Roman" w:cs="Times New Roman"/>
                <w:color w:val="000000"/>
                <w:sz w:val="20"/>
                <w:szCs w:val="20"/>
                <w:lang w:eastAsia="uk-UA" w:bidi="uk-UA"/>
              </w:rPr>
              <w:t>, становить  не менше 5% від загальної кількості виявлених порушень</w:t>
            </w:r>
          </w:p>
        </w:tc>
        <w:tc>
          <w:tcPr>
            <w:tcW w:w="1134" w:type="dxa"/>
          </w:tcPr>
          <w:p w14:paraId="637794A0" w14:textId="6B8D03E1"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15</w:t>
            </w:r>
          </w:p>
        </w:tc>
        <w:tc>
          <w:tcPr>
            <w:tcW w:w="1419" w:type="dxa"/>
          </w:tcPr>
          <w:p w14:paraId="7D8D9AE2" w14:textId="5DF552BF"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D04578">
              <w:rPr>
                <w:rFonts w:ascii="Times New Roman" w:eastAsia="Times New Roman" w:hAnsi="Times New Roman" w:cs="Times New Roman"/>
                <w:color w:val="000000"/>
                <w:sz w:val="16"/>
                <w:szCs w:val="16"/>
                <w:lang w:eastAsia="uk-UA" w:bidi="uk-UA"/>
              </w:rPr>
              <w:t xml:space="preserve">Офіційний </w:t>
            </w:r>
            <w:r>
              <w:rPr>
                <w:rFonts w:ascii="Times New Roman" w:eastAsia="Times New Roman" w:hAnsi="Times New Roman" w:cs="Times New Roman"/>
                <w:color w:val="000000"/>
                <w:sz w:val="16"/>
                <w:szCs w:val="16"/>
                <w:lang w:eastAsia="uk-UA" w:bidi="uk-UA"/>
              </w:rPr>
              <w:t>веб сайт</w:t>
            </w:r>
            <w:r w:rsidRPr="00D04578">
              <w:rPr>
                <w:rFonts w:ascii="Times New Roman" w:eastAsia="Times New Roman" w:hAnsi="Times New Roman" w:cs="Times New Roman"/>
                <w:color w:val="000000"/>
                <w:sz w:val="16"/>
                <w:szCs w:val="16"/>
                <w:lang w:eastAsia="uk-UA" w:bidi="uk-UA"/>
              </w:rPr>
              <w:t xml:space="preserve"> НАЗК</w:t>
            </w:r>
            <w:r w:rsidRPr="00010E5B" w:rsidDel="00CE520E">
              <w:rPr>
                <w:rFonts w:ascii="Times New Roman" w:eastAsia="Times New Roman" w:hAnsi="Times New Roman" w:cs="Times New Roman"/>
                <w:color w:val="000000"/>
                <w:sz w:val="16"/>
                <w:szCs w:val="16"/>
                <w:lang w:eastAsia="uk-UA" w:bidi="uk-UA"/>
              </w:rPr>
              <w:t xml:space="preserve"> </w:t>
            </w:r>
          </w:p>
        </w:tc>
        <w:tc>
          <w:tcPr>
            <w:tcW w:w="1274" w:type="dxa"/>
          </w:tcPr>
          <w:p w14:paraId="3C7BCB5C" w14:textId="6CD35906" w:rsidR="00CE520E" w:rsidRPr="00010E5B" w:rsidRDefault="00CE520E" w:rsidP="00CE520E">
            <w:pPr>
              <w:widowControl w:val="0"/>
              <w:tabs>
                <w:tab w:val="left" w:pos="1274"/>
              </w:tabs>
              <w:ind w:right="-173"/>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w:t>
            </w:r>
            <w:r w:rsidRPr="00E15EE6">
              <w:rPr>
                <w:rFonts w:ascii="Times New Roman" w:eastAsia="Times New Roman" w:hAnsi="Times New Roman" w:cs="Times New Roman"/>
                <w:color w:val="000000"/>
                <w:sz w:val="16"/>
                <w:szCs w:val="16"/>
                <w:lang w:eastAsia="uk-UA" w:bidi="uk-UA"/>
              </w:rPr>
              <w:t>ішен</w:t>
            </w:r>
            <w:r>
              <w:rPr>
                <w:rFonts w:ascii="Times New Roman" w:eastAsia="Times New Roman" w:hAnsi="Times New Roman" w:cs="Times New Roman"/>
                <w:color w:val="000000"/>
                <w:sz w:val="16"/>
                <w:szCs w:val="16"/>
                <w:lang w:eastAsia="uk-UA" w:bidi="uk-UA"/>
              </w:rPr>
              <w:t>ня</w:t>
            </w:r>
            <w:r w:rsidRPr="00E15EE6">
              <w:rPr>
                <w:rFonts w:ascii="Times New Roman" w:eastAsia="Times New Roman" w:hAnsi="Times New Roman" w:cs="Times New Roman"/>
                <w:color w:val="000000"/>
                <w:sz w:val="16"/>
                <w:szCs w:val="16"/>
                <w:lang w:eastAsia="uk-UA" w:bidi="uk-UA"/>
              </w:rPr>
              <w:t xml:space="preserve"> та правочин</w:t>
            </w:r>
            <w:r>
              <w:rPr>
                <w:rFonts w:ascii="Times New Roman" w:eastAsia="Times New Roman" w:hAnsi="Times New Roman" w:cs="Times New Roman"/>
                <w:color w:val="000000"/>
                <w:sz w:val="16"/>
                <w:szCs w:val="16"/>
                <w:lang w:eastAsia="uk-UA" w:bidi="uk-UA"/>
              </w:rPr>
              <w:t>и</w:t>
            </w:r>
            <w:r w:rsidRPr="00E15EE6">
              <w:rPr>
                <w:rFonts w:ascii="Times New Roman" w:eastAsia="Times New Roman" w:hAnsi="Times New Roman" w:cs="Times New Roman"/>
                <w:color w:val="000000"/>
                <w:sz w:val="16"/>
                <w:szCs w:val="16"/>
                <w:lang w:eastAsia="uk-UA" w:bidi="uk-UA"/>
              </w:rPr>
              <w:t>, ухвален</w:t>
            </w:r>
            <w:r>
              <w:rPr>
                <w:rFonts w:ascii="Times New Roman" w:eastAsia="Times New Roman" w:hAnsi="Times New Roman" w:cs="Times New Roman"/>
                <w:color w:val="000000"/>
                <w:sz w:val="16"/>
                <w:szCs w:val="16"/>
                <w:lang w:eastAsia="uk-UA" w:bidi="uk-UA"/>
              </w:rPr>
              <w:t xml:space="preserve">ні </w:t>
            </w:r>
            <w:r w:rsidRPr="00E15EE6">
              <w:rPr>
                <w:rFonts w:ascii="Times New Roman" w:eastAsia="Times New Roman" w:hAnsi="Times New Roman" w:cs="Times New Roman"/>
                <w:color w:val="000000"/>
                <w:sz w:val="16"/>
                <w:szCs w:val="16"/>
                <w:lang w:eastAsia="uk-UA" w:bidi="uk-UA"/>
              </w:rPr>
              <w:t>в умовах конфлікт</w:t>
            </w:r>
            <w:r>
              <w:rPr>
                <w:rFonts w:ascii="Times New Roman" w:eastAsia="Times New Roman" w:hAnsi="Times New Roman" w:cs="Times New Roman"/>
                <w:color w:val="000000"/>
                <w:sz w:val="16"/>
                <w:szCs w:val="16"/>
                <w:lang w:eastAsia="uk-UA" w:bidi="uk-UA"/>
              </w:rPr>
              <w:t>у</w:t>
            </w:r>
            <w:r w:rsidRPr="00E15EE6">
              <w:rPr>
                <w:rFonts w:ascii="Times New Roman" w:eastAsia="Times New Roman" w:hAnsi="Times New Roman" w:cs="Times New Roman"/>
                <w:color w:val="000000"/>
                <w:sz w:val="16"/>
                <w:szCs w:val="16"/>
                <w:lang w:eastAsia="uk-UA" w:bidi="uk-UA"/>
              </w:rPr>
              <w:t xml:space="preserve"> інтересів, за допомогою ІТ-інструментів</w:t>
            </w:r>
            <w:r w:rsidRPr="00010E5B">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не виявляються</w:t>
            </w:r>
          </w:p>
        </w:tc>
      </w:tr>
      <w:tr w:rsidR="00CE520E" w:rsidRPr="00B17B49" w14:paraId="2A31977A" w14:textId="77777777" w:rsidTr="00524D80">
        <w:trPr>
          <w:jc w:val="center"/>
        </w:trPr>
        <w:tc>
          <w:tcPr>
            <w:tcW w:w="2628" w:type="dxa"/>
            <w:vMerge w:val="restart"/>
          </w:tcPr>
          <w:p w14:paraId="562B53CC" w14:textId="77777777" w:rsidR="00CE520E" w:rsidRPr="00CE520E"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CE520E">
              <w:rPr>
                <w:rFonts w:ascii="Times New Roman" w:eastAsia="Times New Roman" w:hAnsi="Times New Roman" w:cs="Times New Roman"/>
                <w:b/>
                <w:color w:val="000000"/>
                <w:sz w:val="20"/>
                <w:szCs w:val="20"/>
                <w:lang w:eastAsia="uk-UA" w:bidi="uk-UA"/>
              </w:rPr>
              <w:t>1.3.1.7.</w:t>
            </w:r>
            <w:r w:rsidRPr="00CE520E">
              <w:rPr>
                <w:rFonts w:ascii="Times New Roman" w:eastAsia="Times New Roman" w:hAnsi="Times New Roman" w:cs="Times New Roman"/>
                <w:color w:val="000000"/>
                <w:sz w:val="20"/>
                <w:szCs w:val="20"/>
                <w:lang w:eastAsia="uk-UA" w:bidi="uk-UA"/>
              </w:rPr>
              <w:t> </w:t>
            </w:r>
            <w:proofErr w:type="spellStart"/>
            <w:r w:rsidRPr="00CE520E">
              <w:rPr>
                <w:rFonts w:ascii="Times New Roman" w:eastAsia="Times New Roman" w:hAnsi="Times New Roman" w:cs="Times New Roman"/>
                <w:color w:val="000000"/>
                <w:sz w:val="20"/>
                <w:szCs w:val="20"/>
                <w:lang w:eastAsia="uk-UA" w:bidi="uk-UA"/>
              </w:rPr>
              <w:t>Внесено</w:t>
            </w:r>
            <w:proofErr w:type="spellEnd"/>
            <w:r w:rsidRPr="00CE520E">
              <w:rPr>
                <w:rFonts w:ascii="Times New Roman" w:eastAsia="Times New Roman" w:hAnsi="Times New Roman" w:cs="Times New Roman"/>
                <w:color w:val="000000"/>
                <w:sz w:val="20"/>
                <w:szCs w:val="20"/>
                <w:lang w:eastAsia="uk-UA" w:bidi="uk-UA"/>
              </w:rPr>
              <w:t xml:space="preserve"> системні зміни до Закону України «Про службу в органах місцевого самоврядування» та Закону України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w:t>
            </w:r>
            <w:r w:rsidRPr="00CE520E">
              <w:rPr>
                <w:rFonts w:ascii="Times New Roman" w:eastAsia="Times New Roman" w:hAnsi="Times New Roman" w:cs="Times New Roman"/>
                <w:color w:val="000000"/>
                <w:sz w:val="20"/>
                <w:szCs w:val="20"/>
                <w:lang w:eastAsia="uk-UA" w:bidi="uk-UA"/>
              </w:rPr>
              <w:lastRenderedPageBreak/>
              <w:t>із статусом депутатів місцевих рад</w:t>
            </w:r>
          </w:p>
        </w:tc>
        <w:tc>
          <w:tcPr>
            <w:tcW w:w="8424" w:type="dxa"/>
          </w:tcPr>
          <w:p w14:paraId="573A9C03" w14:textId="66CF980D" w:rsidR="00CE520E" w:rsidRPr="00CE520E" w:rsidRDefault="00CE520E" w:rsidP="00C141B2">
            <w:pPr>
              <w:widowControl w:val="0"/>
              <w:tabs>
                <w:tab w:val="left" w:pos="455"/>
              </w:tabs>
              <w:ind w:firstLine="284"/>
              <w:contextualSpacing/>
              <w:jc w:val="both"/>
              <w:rPr>
                <w:rFonts w:ascii="Times New Roman" w:eastAsia="Times New Roman" w:hAnsi="Times New Roman" w:cs="Times New Roman"/>
                <w:caps/>
                <w:color w:val="000000"/>
                <w:sz w:val="16"/>
                <w:szCs w:val="16"/>
                <w:lang w:eastAsia="uk-UA" w:bidi="uk-UA"/>
              </w:rPr>
            </w:pPr>
            <w:r w:rsidRPr="00E15EE6">
              <w:rPr>
                <w:rFonts w:ascii="Times New Roman" w:eastAsia="Times New Roman" w:hAnsi="Times New Roman" w:cs="Times New Roman"/>
                <w:b/>
                <w:sz w:val="20"/>
                <w:szCs w:val="20"/>
              </w:rPr>
              <w:lastRenderedPageBreak/>
              <w:t>1.</w:t>
            </w:r>
            <w:r w:rsidRPr="00E15EE6">
              <w:rPr>
                <w:rFonts w:ascii="Times New Roman" w:eastAsia="Times New Roman" w:hAnsi="Times New Roman" w:cs="Times New Roman"/>
                <w:sz w:val="20"/>
                <w:szCs w:val="20"/>
              </w:rPr>
              <w:t xml:space="preserve"> Звіт за результатами аналітичного дослідження актуального стану проблеми </w:t>
            </w:r>
            <w:r w:rsidRPr="00E15EE6">
              <w:rPr>
                <w:rFonts w:ascii="Times New Roman" w:eastAsia="Times New Roman" w:hAnsi="Times New Roman" w:cs="Times New Roman"/>
                <w:color w:val="000000"/>
                <w:sz w:val="20"/>
                <w:szCs w:val="20"/>
                <w:lang w:eastAsia="uk-UA" w:bidi="uk-UA"/>
              </w:rPr>
              <w:t>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w:t>
            </w:r>
            <w:r w:rsidRPr="00E15EE6">
              <w:rPr>
                <w:rFonts w:ascii="Times New Roman" w:eastAsia="Times New Roman" w:hAnsi="Times New Roman" w:cs="Times New Roman"/>
                <w:sz w:val="20"/>
                <w:szCs w:val="20"/>
              </w:rPr>
              <w:t xml:space="preserve"> питань запобігання конфлікту інтересів, можливості суміщення служби в органах місцевого самоврядування зі статусом депутата місцевої ради опубліковано.</w:t>
            </w:r>
          </w:p>
        </w:tc>
        <w:tc>
          <w:tcPr>
            <w:tcW w:w="1134" w:type="dxa"/>
          </w:tcPr>
          <w:p w14:paraId="7E80164C" w14:textId="673B6660" w:rsidR="00CE520E" w:rsidRPr="00CE520E" w:rsidRDefault="00161A77"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w:t>
            </w:r>
            <w:r w:rsidR="00CE520E" w:rsidRPr="00CE520E">
              <w:rPr>
                <w:rFonts w:ascii="Times New Roman" w:eastAsia="Times New Roman" w:hAnsi="Times New Roman" w:cs="Times New Roman"/>
                <w:color w:val="000000"/>
                <w:sz w:val="16"/>
                <w:szCs w:val="16"/>
                <w:lang w:eastAsia="uk-UA" w:bidi="uk-UA"/>
              </w:rPr>
              <w:t>0</w:t>
            </w:r>
          </w:p>
        </w:tc>
        <w:tc>
          <w:tcPr>
            <w:tcW w:w="1419" w:type="dxa"/>
          </w:tcPr>
          <w:p w14:paraId="12E46171" w14:textId="20BF6A19" w:rsidR="00CE520E" w:rsidRPr="00CE520E"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CE520E">
              <w:rPr>
                <w:rFonts w:ascii="Times New Roman" w:eastAsia="Times New Roman" w:hAnsi="Times New Roman" w:cs="Times New Roman"/>
                <w:color w:val="000000"/>
                <w:sz w:val="16"/>
                <w:szCs w:val="16"/>
                <w:lang w:eastAsia="uk-UA" w:bidi="uk-UA"/>
              </w:rPr>
              <w:t>Офіційний веб сайт НАЗК</w:t>
            </w:r>
            <w:r w:rsidRPr="00CE520E" w:rsidDel="00CE520E">
              <w:rPr>
                <w:rFonts w:ascii="Times New Roman" w:eastAsia="Times New Roman" w:hAnsi="Times New Roman" w:cs="Times New Roman"/>
                <w:color w:val="000000"/>
                <w:sz w:val="16"/>
                <w:szCs w:val="16"/>
                <w:lang w:eastAsia="uk-UA" w:bidi="uk-UA"/>
              </w:rPr>
              <w:t xml:space="preserve"> </w:t>
            </w:r>
          </w:p>
        </w:tc>
        <w:tc>
          <w:tcPr>
            <w:tcW w:w="1274" w:type="dxa"/>
          </w:tcPr>
          <w:p w14:paraId="5E7ADB07" w14:textId="77777777" w:rsidR="00CE520E" w:rsidRPr="00010E5B" w:rsidRDefault="00CE520E" w:rsidP="00CE520E">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CE520E">
              <w:rPr>
                <w:rFonts w:ascii="Times New Roman" w:eastAsia="Times New Roman" w:hAnsi="Times New Roman" w:cs="Times New Roman"/>
                <w:color w:val="000000"/>
                <w:sz w:val="16"/>
                <w:szCs w:val="16"/>
              </w:rPr>
              <w:t>Звіт не опубліковано</w:t>
            </w:r>
          </w:p>
        </w:tc>
      </w:tr>
      <w:tr w:rsidR="00CE520E" w:rsidRPr="00B17B49" w14:paraId="641880DF" w14:textId="77777777" w:rsidTr="00524D80">
        <w:trPr>
          <w:jc w:val="center"/>
        </w:trPr>
        <w:tc>
          <w:tcPr>
            <w:tcW w:w="2628" w:type="dxa"/>
            <w:vMerge/>
          </w:tcPr>
          <w:p w14:paraId="4B8CE76E"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77974511" w14:textId="44BA2345" w:rsidR="00CE520E" w:rsidRPr="00E15EE6" w:rsidRDefault="00CE520E" w:rsidP="00C141B2">
            <w:pPr>
              <w:widowControl w:val="0"/>
              <w:tabs>
                <w:tab w:val="left" w:pos="455"/>
              </w:tabs>
              <w:ind w:firstLine="284"/>
              <w:contextualSpacing/>
              <w:jc w:val="both"/>
              <w:rPr>
                <w:rFonts w:ascii="Times New Roman" w:eastAsia="Times New Roman" w:hAnsi="Times New Roman" w:cs="Times New Roman"/>
                <w:b/>
                <w:color w:val="000000"/>
                <w:sz w:val="16"/>
                <w:szCs w:val="16"/>
                <w:lang w:eastAsia="uk-UA" w:bidi="uk-UA"/>
              </w:rPr>
            </w:pPr>
            <w:r w:rsidRPr="00E15EE6">
              <w:rPr>
                <w:rFonts w:ascii="Times New Roman" w:eastAsia="Times New Roman" w:hAnsi="Times New Roman" w:cs="Times New Roman"/>
                <w:b/>
                <w:color w:val="000000"/>
                <w:sz w:val="20"/>
                <w:szCs w:val="20"/>
                <w:lang w:eastAsia="uk-UA" w:bidi="uk-UA"/>
              </w:rPr>
              <w:t>2. </w:t>
            </w:r>
            <w:r w:rsidRPr="00E15EE6">
              <w:rPr>
                <w:rFonts w:ascii="Times New Roman" w:eastAsia="Times New Roman" w:hAnsi="Times New Roman" w:cs="Times New Roman"/>
                <w:color w:val="000000"/>
                <w:sz w:val="20"/>
                <w:szCs w:val="20"/>
                <w:lang w:eastAsia="uk-UA" w:bidi="uk-UA"/>
              </w:rPr>
              <w:t xml:space="preserve">Набрав чинності Закон,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w:t>
            </w:r>
            <w:r w:rsidRPr="00E15EE6">
              <w:rPr>
                <w:rFonts w:ascii="Times New Roman" w:eastAsia="Times New Roman" w:hAnsi="Times New Roman" w:cs="Times New Roman"/>
                <w:sz w:val="20"/>
                <w:szCs w:val="20"/>
              </w:rPr>
              <w:t xml:space="preserve">з урахуванням висновків аналітичного звіту, </w:t>
            </w:r>
            <w:r w:rsidR="00C04E73" w:rsidRPr="00C04E73">
              <w:rPr>
                <w:rFonts w:ascii="Times New Roman" w:eastAsia="Times New Roman" w:hAnsi="Times New Roman" w:cs="Times New Roman"/>
                <w:sz w:val="20"/>
                <w:szCs w:val="20"/>
              </w:rPr>
              <w:t>зазначеного в показнику (індикаторі) досягнення № 1 очікуваного стратегічного результату 1.3.1.</w:t>
            </w:r>
            <w:r w:rsidR="00C04E73">
              <w:rPr>
                <w:rFonts w:ascii="Times New Roman" w:eastAsia="Times New Roman" w:hAnsi="Times New Roman" w:cs="Times New Roman"/>
                <w:sz w:val="20"/>
                <w:szCs w:val="20"/>
              </w:rPr>
              <w:t>7</w:t>
            </w:r>
            <w:r w:rsidR="00C04E73" w:rsidRPr="00C04E73">
              <w:rPr>
                <w:rFonts w:ascii="Times New Roman" w:eastAsia="Times New Roman" w:hAnsi="Times New Roman" w:cs="Times New Roman"/>
                <w:sz w:val="20"/>
                <w:szCs w:val="20"/>
              </w:rPr>
              <w:t>.</w:t>
            </w:r>
          </w:p>
        </w:tc>
        <w:tc>
          <w:tcPr>
            <w:tcW w:w="1134" w:type="dxa"/>
          </w:tcPr>
          <w:p w14:paraId="0141A2C7" w14:textId="3C6E1C2B" w:rsidR="00CE520E" w:rsidRPr="00010E5B" w:rsidRDefault="00161A77"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7</w:t>
            </w:r>
            <w:r w:rsidR="00CE520E" w:rsidRPr="00010E5B">
              <w:rPr>
                <w:rFonts w:ascii="Times New Roman" w:eastAsia="Times New Roman" w:hAnsi="Times New Roman" w:cs="Times New Roman"/>
                <w:color w:val="000000"/>
                <w:sz w:val="16"/>
                <w:szCs w:val="16"/>
                <w:lang w:eastAsia="uk-UA" w:bidi="uk-UA"/>
              </w:rPr>
              <w:t>0</w:t>
            </w:r>
          </w:p>
        </w:tc>
        <w:tc>
          <w:tcPr>
            <w:tcW w:w="1419" w:type="dxa"/>
          </w:tcPr>
          <w:p w14:paraId="4E0E5AAC" w14:textId="77777777" w:rsidR="00CE520E" w:rsidRPr="00010E5B" w:rsidRDefault="00CE520E" w:rsidP="00CE520E">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 України.</w:t>
            </w:r>
          </w:p>
          <w:p w14:paraId="17B96309" w14:textId="77777777" w:rsidR="00CE520E" w:rsidRPr="00010E5B" w:rsidRDefault="00CE520E" w:rsidP="00CE520E">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w:t>
            </w:r>
            <w:proofErr w:type="spellStart"/>
            <w:r w:rsidRPr="00010E5B">
              <w:rPr>
                <w:rFonts w:ascii="Times New Roman" w:eastAsia="Times New Roman" w:hAnsi="Times New Roman" w:cs="Times New Roman"/>
                <w:color w:val="000000"/>
                <w:sz w:val="16"/>
                <w:szCs w:val="16"/>
                <w:lang w:eastAsia="uk-UA" w:bidi="uk-UA"/>
              </w:rPr>
              <w:t>вебпортал</w:t>
            </w:r>
            <w:proofErr w:type="spellEnd"/>
            <w:r w:rsidRPr="00010E5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274" w:type="dxa"/>
          </w:tcPr>
          <w:p w14:paraId="3E191A73" w14:textId="77777777"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880B58">
              <w:rPr>
                <w:rFonts w:ascii="Times New Roman" w:eastAsia="Times New Roman" w:hAnsi="Times New Roman" w:cs="Times New Roman"/>
                <w:sz w:val="16"/>
                <w:szCs w:val="16"/>
              </w:rPr>
              <w:t>Закон чинності не набрав</w:t>
            </w:r>
          </w:p>
        </w:tc>
      </w:tr>
      <w:bookmarkEnd w:id="0"/>
    </w:tbl>
    <w:p w14:paraId="15F5D858" w14:textId="7F07ACEF" w:rsidR="00E95B48" w:rsidRPr="001301D3" w:rsidRDefault="00B830DA" w:rsidP="00B830D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E95B48" w:rsidRPr="0069075D">
        <w:rPr>
          <w:rFonts w:ascii="Times New Roman" w:eastAsia="Calibri" w:hAnsi="Times New Roman" w:cs="Times New Roman"/>
          <w:b/>
          <w:sz w:val="24"/>
          <w:szCs w:val="24"/>
        </w:rPr>
        <w:lastRenderedPageBreak/>
        <w:t>Заходи:</w:t>
      </w:r>
    </w:p>
    <w:tbl>
      <w:tblPr>
        <w:tblStyle w:val="1"/>
        <w:tblW w:w="5000" w:type="pct"/>
        <w:tblLayout w:type="fixed"/>
        <w:tblLook w:val="04A0" w:firstRow="1" w:lastRow="0" w:firstColumn="1" w:lastColumn="0" w:noHBand="0" w:noVBand="1"/>
      </w:tblPr>
      <w:tblGrid>
        <w:gridCol w:w="5723"/>
        <w:gridCol w:w="1082"/>
        <w:gridCol w:w="949"/>
        <w:gridCol w:w="949"/>
        <w:gridCol w:w="1347"/>
        <w:gridCol w:w="1346"/>
        <w:gridCol w:w="1479"/>
        <w:gridCol w:w="1082"/>
        <w:gridCol w:w="917"/>
      </w:tblGrid>
      <w:tr w:rsidR="00E95B48" w:rsidRPr="001301D3" w14:paraId="62456AD4" w14:textId="77777777" w:rsidTr="001A4F82">
        <w:trPr>
          <w:trHeight w:val="479"/>
        </w:trPr>
        <w:tc>
          <w:tcPr>
            <w:tcW w:w="5723" w:type="dxa"/>
            <w:vMerge w:val="restart"/>
            <w:shd w:val="clear" w:color="auto" w:fill="D9E2F3"/>
            <w:vAlign w:val="center"/>
          </w:tcPr>
          <w:p w14:paraId="55F578E6" w14:textId="77777777" w:rsidR="00E95B48" w:rsidRPr="001301D3" w:rsidRDefault="00E95B48" w:rsidP="00E95B48">
            <w:pPr>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Найменування та зміст заходу</w:t>
            </w:r>
          </w:p>
        </w:tc>
        <w:tc>
          <w:tcPr>
            <w:tcW w:w="2031" w:type="dxa"/>
            <w:gridSpan w:val="2"/>
            <w:shd w:val="clear" w:color="auto" w:fill="D9E2F3"/>
            <w:vAlign w:val="center"/>
          </w:tcPr>
          <w:p w14:paraId="452BED24" w14:textId="77777777" w:rsidR="00E95B48" w:rsidRPr="001301D3" w:rsidRDefault="00E95B48" w:rsidP="00E95B48">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rPr>
              <w:t>Строки виконання</w:t>
            </w:r>
          </w:p>
        </w:tc>
        <w:tc>
          <w:tcPr>
            <w:tcW w:w="949" w:type="dxa"/>
            <w:vMerge w:val="restart"/>
            <w:shd w:val="clear" w:color="auto" w:fill="D9E2F3"/>
            <w:vAlign w:val="center"/>
          </w:tcPr>
          <w:p w14:paraId="413552E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Виконавці</w:t>
            </w:r>
          </w:p>
        </w:tc>
        <w:tc>
          <w:tcPr>
            <w:tcW w:w="2693" w:type="dxa"/>
            <w:gridSpan w:val="2"/>
            <w:shd w:val="clear" w:color="auto" w:fill="D9E2F3"/>
            <w:vAlign w:val="center"/>
          </w:tcPr>
          <w:p w14:paraId="35BA0CB5" w14:textId="77777777" w:rsidR="00E95B48" w:rsidRPr="001301D3" w:rsidRDefault="00E95B48" w:rsidP="00E95B48">
            <w:pPr>
              <w:jc w:val="center"/>
              <w:rPr>
                <w:rFonts w:ascii="Times New Roman" w:eastAsia="Times New Roman" w:hAnsi="Times New Roman" w:cs="Times New Roman"/>
                <w:b/>
              </w:rPr>
            </w:pPr>
            <w:r w:rsidRPr="001301D3">
              <w:rPr>
                <w:rFonts w:ascii="Times New Roman" w:eastAsia="Times New Roman" w:hAnsi="Times New Roman" w:cs="Times New Roman"/>
                <w:b/>
              </w:rPr>
              <w:t>Фінансові ресурси</w:t>
            </w:r>
          </w:p>
        </w:tc>
        <w:tc>
          <w:tcPr>
            <w:tcW w:w="1479" w:type="dxa"/>
            <w:vMerge w:val="restart"/>
            <w:shd w:val="clear" w:color="auto" w:fill="D9E2F3"/>
            <w:vAlign w:val="center"/>
          </w:tcPr>
          <w:p w14:paraId="3D865CB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Показник (індикатор) виконання</w:t>
            </w:r>
          </w:p>
        </w:tc>
        <w:tc>
          <w:tcPr>
            <w:tcW w:w="1082" w:type="dxa"/>
            <w:vMerge w:val="restart"/>
            <w:shd w:val="clear" w:color="auto" w:fill="D9E2F3"/>
            <w:vAlign w:val="center"/>
          </w:tcPr>
          <w:p w14:paraId="669F8D9A"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Джерело даних</w:t>
            </w:r>
          </w:p>
        </w:tc>
        <w:tc>
          <w:tcPr>
            <w:tcW w:w="917" w:type="dxa"/>
            <w:vMerge w:val="restart"/>
            <w:shd w:val="clear" w:color="auto" w:fill="D9E2F3"/>
            <w:vAlign w:val="center"/>
          </w:tcPr>
          <w:p w14:paraId="120844D5" w14:textId="77777777" w:rsidR="00E95B48" w:rsidRPr="001301D3" w:rsidRDefault="00E95B48" w:rsidP="00E95B48">
            <w:pPr>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16"/>
                <w:szCs w:val="16"/>
              </w:rPr>
              <w:t>Базовий показник</w:t>
            </w:r>
          </w:p>
        </w:tc>
      </w:tr>
      <w:tr w:rsidR="00E95B48" w:rsidRPr="001301D3" w14:paraId="39A8A5C7" w14:textId="77777777" w:rsidTr="001A4F82">
        <w:trPr>
          <w:trHeight w:val="473"/>
        </w:trPr>
        <w:tc>
          <w:tcPr>
            <w:tcW w:w="5723" w:type="dxa"/>
            <w:vMerge/>
            <w:shd w:val="clear" w:color="auto" w:fill="D9E2F3"/>
            <w:vAlign w:val="center"/>
          </w:tcPr>
          <w:p w14:paraId="1C2043D9" w14:textId="77777777" w:rsidR="00E95B48" w:rsidRPr="001301D3" w:rsidRDefault="00E95B48" w:rsidP="00E95B48">
            <w:pPr>
              <w:jc w:val="center"/>
              <w:rPr>
                <w:rFonts w:ascii="Times New Roman" w:eastAsia="Times New Roman" w:hAnsi="Times New Roman" w:cs="Times New Roman"/>
                <w:b/>
                <w:sz w:val="20"/>
                <w:szCs w:val="20"/>
              </w:rPr>
            </w:pPr>
          </w:p>
        </w:tc>
        <w:tc>
          <w:tcPr>
            <w:tcW w:w="1082" w:type="dxa"/>
            <w:shd w:val="clear" w:color="auto" w:fill="D9E2F3"/>
            <w:vAlign w:val="center"/>
          </w:tcPr>
          <w:p w14:paraId="1CD7A6D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Дата початку</w:t>
            </w:r>
          </w:p>
        </w:tc>
        <w:tc>
          <w:tcPr>
            <w:tcW w:w="949" w:type="dxa"/>
            <w:shd w:val="clear" w:color="auto" w:fill="D9E2F3"/>
            <w:vAlign w:val="center"/>
          </w:tcPr>
          <w:p w14:paraId="182832C4"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Дата завершення</w:t>
            </w:r>
          </w:p>
        </w:tc>
        <w:tc>
          <w:tcPr>
            <w:tcW w:w="949" w:type="dxa"/>
            <w:vMerge/>
            <w:shd w:val="clear" w:color="auto" w:fill="D9E2F3"/>
            <w:vAlign w:val="center"/>
          </w:tcPr>
          <w:p w14:paraId="59304691" w14:textId="77777777" w:rsidR="00E95B48" w:rsidRPr="001301D3" w:rsidRDefault="00E95B48" w:rsidP="00E95B48">
            <w:pPr>
              <w:jc w:val="center"/>
              <w:rPr>
                <w:rFonts w:ascii="Times New Roman" w:eastAsia="Times New Roman" w:hAnsi="Times New Roman" w:cs="Times New Roman"/>
                <w:b/>
                <w:sz w:val="20"/>
                <w:szCs w:val="20"/>
              </w:rPr>
            </w:pPr>
          </w:p>
        </w:tc>
        <w:tc>
          <w:tcPr>
            <w:tcW w:w="1347" w:type="dxa"/>
            <w:shd w:val="clear" w:color="auto" w:fill="D9E2F3"/>
            <w:vAlign w:val="center"/>
          </w:tcPr>
          <w:p w14:paraId="2C101FD0" w14:textId="5C128F54"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Джерела фінансування</w:t>
            </w:r>
          </w:p>
        </w:tc>
        <w:tc>
          <w:tcPr>
            <w:tcW w:w="1346" w:type="dxa"/>
            <w:shd w:val="clear" w:color="auto" w:fill="D9E2F3"/>
            <w:vAlign w:val="center"/>
          </w:tcPr>
          <w:p w14:paraId="01A14110"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Обсяги фінансування</w:t>
            </w:r>
          </w:p>
        </w:tc>
        <w:tc>
          <w:tcPr>
            <w:tcW w:w="1479" w:type="dxa"/>
            <w:vMerge/>
            <w:shd w:val="clear" w:color="auto" w:fill="D9E2F3"/>
            <w:vAlign w:val="center"/>
          </w:tcPr>
          <w:p w14:paraId="2249B5C4" w14:textId="77777777" w:rsidR="00E95B48" w:rsidRPr="001301D3" w:rsidRDefault="00E95B48" w:rsidP="00E95B48">
            <w:pPr>
              <w:jc w:val="center"/>
              <w:rPr>
                <w:rFonts w:ascii="Times New Roman" w:eastAsia="Times New Roman" w:hAnsi="Times New Roman" w:cs="Times New Roman"/>
                <w:b/>
                <w:sz w:val="20"/>
                <w:szCs w:val="20"/>
              </w:rPr>
            </w:pPr>
          </w:p>
        </w:tc>
        <w:tc>
          <w:tcPr>
            <w:tcW w:w="1082" w:type="dxa"/>
            <w:vMerge/>
            <w:shd w:val="clear" w:color="auto" w:fill="D9E2F3"/>
            <w:vAlign w:val="center"/>
          </w:tcPr>
          <w:p w14:paraId="00CEE777" w14:textId="77777777" w:rsidR="00E95B48" w:rsidRPr="001301D3" w:rsidRDefault="00E95B48" w:rsidP="00E95B48">
            <w:pPr>
              <w:jc w:val="center"/>
              <w:rPr>
                <w:rFonts w:ascii="Times New Roman" w:eastAsia="Times New Roman" w:hAnsi="Times New Roman" w:cs="Times New Roman"/>
                <w:b/>
                <w:sz w:val="20"/>
                <w:szCs w:val="20"/>
              </w:rPr>
            </w:pPr>
          </w:p>
        </w:tc>
        <w:tc>
          <w:tcPr>
            <w:tcW w:w="917" w:type="dxa"/>
            <w:vMerge/>
            <w:shd w:val="clear" w:color="auto" w:fill="D9E2F3"/>
          </w:tcPr>
          <w:p w14:paraId="1C92753F" w14:textId="77777777" w:rsidR="00E95B48" w:rsidRPr="001301D3" w:rsidRDefault="00E95B48" w:rsidP="00E95B48">
            <w:pPr>
              <w:jc w:val="center"/>
              <w:rPr>
                <w:rFonts w:ascii="Times New Roman" w:eastAsia="Times New Roman" w:hAnsi="Times New Roman" w:cs="Times New Roman"/>
                <w:b/>
                <w:sz w:val="16"/>
                <w:szCs w:val="16"/>
              </w:rPr>
            </w:pPr>
          </w:p>
        </w:tc>
      </w:tr>
      <w:tr w:rsidR="00C04E73" w:rsidRPr="001301D3" w14:paraId="7AE5BD1F" w14:textId="77777777" w:rsidTr="00C04E73">
        <w:trPr>
          <w:trHeight w:val="473"/>
        </w:trPr>
        <w:tc>
          <w:tcPr>
            <w:tcW w:w="14874" w:type="dxa"/>
            <w:gridSpan w:val="9"/>
            <w:shd w:val="clear" w:color="auto" w:fill="E2EFD9" w:themeFill="accent6" w:themeFillTint="33"/>
            <w:vAlign w:val="center"/>
          </w:tcPr>
          <w:p w14:paraId="1901F376" w14:textId="1C688A59" w:rsidR="00C04E73" w:rsidRPr="001301D3" w:rsidRDefault="00C04E73" w:rsidP="00C04E73">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b/>
                <w:sz w:val="24"/>
                <w:szCs w:val="24"/>
              </w:rPr>
              <w:t xml:space="preserve">Очікуваний стратегічний результат </w:t>
            </w:r>
            <w:r>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.3.1.1.</w:t>
            </w:r>
          </w:p>
        </w:tc>
      </w:tr>
      <w:tr w:rsidR="00B01FCC" w:rsidRPr="001301D3" w14:paraId="5F64666B" w14:textId="77777777" w:rsidTr="001A4F82">
        <w:trPr>
          <w:trHeight w:val="473"/>
        </w:trPr>
        <w:tc>
          <w:tcPr>
            <w:tcW w:w="5723" w:type="dxa"/>
            <w:shd w:val="clear" w:color="auto" w:fill="auto"/>
            <w:vAlign w:val="center"/>
          </w:tcPr>
          <w:p w14:paraId="50AC55BF" w14:textId="18E80C48" w:rsidR="00B01FCC" w:rsidRPr="00DF0FE2" w:rsidRDefault="00B01FCC" w:rsidP="00B01FCC">
            <w:pPr>
              <w:ind w:firstLine="176"/>
              <w:jc w:val="both"/>
              <w:rPr>
                <w:rFonts w:ascii="Times New Roman" w:eastAsia="Times New Roman" w:hAnsi="Times New Roman" w:cs="Times New Roman"/>
                <w:b/>
                <w:sz w:val="20"/>
                <w:szCs w:val="20"/>
              </w:rPr>
            </w:pPr>
            <w:r w:rsidRPr="00DF0FE2">
              <w:rPr>
                <w:rFonts w:ascii="Times New Roman" w:eastAsia="Times New Roman" w:hAnsi="Times New Roman" w:cs="Times New Roman"/>
                <w:b/>
                <w:color w:val="000000"/>
                <w:sz w:val="20"/>
                <w:szCs w:val="20"/>
                <w:lang w:eastAsia="uk-UA" w:bidi="uk-UA"/>
              </w:rPr>
              <w:t>1.</w:t>
            </w:r>
            <w:r w:rsidRPr="00DF0FE2">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DF0FE2">
              <w:rPr>
                <w:rFonts w:ascii="Times New Roman" w:eastAsia="Times New Roman" w:hAnsi="Times New Roman" w:cs="Times New Roman"/>
                <w:color w:val="000000"/>
                <w:sz w:val="20"/>
                <w:szCs w:val="20"/>
                <w:lang w:eastAsia="uk-UA" w:bidi="uk-UA"/>
              </w:rPr>
              <w:t xml:space="preserve">, яким </w:t>
            </w:r>
            <w:r w:rsidRPr="00010E5B">
              <w:rPr>
                <w:rFonts w:ascii="Times New Roman" w:eastAsia="Times New Roman" w:hAnsi="Times New Roman" w:cs="Times New Roman"/>
                <w:color w:val="000000"/>
                <w:sz w:val="20"/>
                <w:szCs w:val="20"/>
                <w:lang w:eastAsia="uk-UA" w:bidi="uk-UA"/>
              </w:rPr>
              <w:t>запровадж</w:t>
            </w:r>
            <w:r>
              <w:rPr>
                <w:rFonts w:ascii="Times New Roman" w:eastAsia="Times New Roman" w:hAnsi="Times New Roman" w:cs="Times New Roman"/>
                <w:color w:val="000000"/>
                <w:sz w:val="20"/>
                <w:szCs w:val="20"/>
                <w:lang w:eastAsia="uk-UA" w:bidi="uk-UA"/>
              </w:rPr>
              <w:t>ується</w:t>
            </w:r>
            <w:r w:rsidRPr="00010E5B">
              <w:rPr>
                <w:rFonts w:ascii="Times New Roman" w:eastAsia="Times New Roman" w:hAnsi="Times New Roman" w:cs="Times New Roman"/>
                <w:color w:val="000000"/>
                <w:sz w:val="20"/>
                <w:szCs w:val="20"/>
                <w:lang w:eastAsia="uk-UA" w:bidi="uk-UA"/>
              </w:rPr>
              <w:t xml:space="preserve"> новий підхід до визначення термінів «потенційний конфлікт інтересів» та «реальний конфлікт інтересів», </w:t>
            </w:r>
            <w:r>
              <w:rPr>
                <w:rFonts w:ascii="Times New Roman" w:eastAsia="Times New Roman" w:hAnsi="Times New Roman" w:cs="Times New Roman"/>
                <w:color w:val="000000"/>
                <w:sz w:val="20"/>
                <w:szCs w:val="20"/>
                <w:lang w:eastAsia="uk-UA" w:bidi="uk-UA"/>
              </w:rPr>
              <w:t>що</w:t>
            </w:r>
            <w:r w:rsidRPr="00010E5B">
              <w:rPr>
                <w:rFonts w:ascii="Times New Roman" w:eastAsia="Times New Roman" w:hAnsi="Times New Roman" w:cs="Times New Roman"/>
                <w:color w:val="000000"/>
                <w:sz w:val="20"/>
                <w:szCs w:val="20"/>
                <w:lang w:eastAsia="uk-UA" w:bidi="uk-UA"/>
              </w:rPr>
              <w:t xml:space="preserve"> дає змогу чітко їх розмежувати (серед іншого, виключено ознаку суперечності між приватним інтересом і службовими повноваженнями)</w:t>
            </w:r>
            <w:r>
              <w:rPr>
                <w:rFonts w:ascii="Times New Roman" w:eastAsia="Times New Roman" w:hAnsi="Times New Roman" w:cs="Times New Roman"/>
                <w:color w:val="000000"/>
                <w:sz w:val="20"/>
                <w:szCs w:val="20"/>
                <w:lang w:eastAsia="uk-UA" w:bidi="uk-UA"/>
              </w:rPr>
              <w:t xml:space="preserve">, а також </w:t>
            </w:r>
            <w:r w:rsidRPr="00010E5B">
              <w:rPr>
                <w:rFonts w:ascii="Times New Roman" w:eastAsia="Times New Roman" w:hAnsi="Times New Roman" w:cs="Times New Roman"/>
                <w:color w:val="000000"/>
                <w:sz w:val="20"/>
                <w:szCs w:val="20"/>
                <w:lang w:eastAsia="uk-UA" w:bidi="uk-UA"/>
              </w:rPr>
              <w:t>удосконал</w:t>
            </w:r>
            <w:r>
              <w:rPr>
                <w:rFonts w:ascii="Times New Roman" w:eastAsia="Times New Roman" w:hAnsi="Times New Roman" w:cs="Times New Roman"/>
                <w:color w:val="000000"/>
                <w:sz w:val="20"/>
                <w:szCs w:val="20"/>
                <w:lang w:eastAsia="uk-UA" w:bidi="uk-UA"/>
              </w:rPr>
              <w:t xml:space="preserve">юється </w:t>
            </w:r>
            <w:r w:rsidRPr="00010E5B">
              <w:rPr>
                <w:rFonts w:ascii="Times New Roman" w:eastAsia="Times New Roman" w:hAnsi="Times New Roman" w:cs="Times New Roman"/>
                <w:color w:val="000000"/>
                <w:sz w:val="20"/>
                <w:szCs w:val="20"/>
                <w:lang w:eastAsia="uk-UA" w:bidi="uk-UA"/>
              </w:rPr>
              <w:t>поняття «приватний інтерес»</w:t>
            </w:r>
          </w:p>
        </w:tc>
        <w:tc>
          <w:tcPr>
            <w:tcW w:w="1082" w:type="dxa"/>
            <w:shd w:val="clear" w:color="auto" w:fill="auto"/>
          </w:tcPr>
          <w:p w14:paraId="21C6EB3B" w14:textId="17FF8A7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5D17BFB1" w14:textId="21F3F4B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7321C56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719E49DE" w14:textId="2D036BD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6084C0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5FE7917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shd w:val="clear" w:color="auto" w:fill="auto"/>
          </w:tcPr>
          <w:p w14:paraId="51C4380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6FA64E6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6"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shd w:val="clear" w:color="auto" w:fill="auto"/>
          </w:tcPr>
          <w:p w14:paraId="5A1B2B99"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10EAC56D" w14:textId="77777777" w:rsidTr="001A4F82">
        <w:trPr>
          <w:trHeight w:val="473"/>
        </w:trPr>
        <w:tc>
          <w:tcPr>
            <w:tcW w:w="5723" w:type="dxa"/>
            <w:shd w:val="clear" w:color="auto" w:fill="auto"/>
          </w:tcPr>
          <w:p w14:paraId="29BA0EE8" w14:textId="3B128DBD"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lang w:eastAsia="uk-UA" w:bidi="uk-UA"/>
              </w:rPr>
              <w:t>2.</w:t>
            </w:r>
            <w:r w:rsidRPr="001301D3">
              <w:rPr>
                <w:rFonts w:ascii="Times New Roman" w:eastAsia="Times New Roman" w:hAnsi="Times New Roman" w:cs="Times New Roman"/>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82" w:type="dxa"/>
            <w:shd w:val="clear" w:color="auto" w:fill="auto"/>
          </w:tcPr>
          <w:p w14:paraId="1E2B9BB6" w14:textId="5EC29F0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71EE16FC" w14:textId="3CD03D7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shd w:val="clear" w:color="auto" w:fill="auto"/>
          </w:tcPr>
          <w:p w14:paraId="55F4C8C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2AC7E857" w14:textId="3AB5B5B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52292E3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shd w:val="clear" w:color="auto" w:fill="auto"/>
          </w:tcPr>
          <w:p w14:paraId="10DEE14E"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shd w:val="clear" w:color="auto" w:fill="auto"/>
          </w:tcPr>
          <w:p w14:paraId="5176215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7"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shd w:val="clear" w:color="auto" w:fill="auto"/>
          </w:tcPr>
          <w:p w14:paraId="3BE9BC5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714B521B" w14:textId="77777777" w:rsidTr="001A4F82">
        <w:trPr>
          <w:trHeight w:val="473"/>
        </w:trPr>
        <w:tc>
          <w:tcPr>
            <w:tcW w:w="5723" w:type="dxa"/>
            <w:shd w:val="clear" w:color="auto" w:fill="auto"/>
          </w:tcPr>
          <w:p w14:paraId="19A49116" w14:textId="04243515"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color w:val="000000"/>
                <w:sz w:val="20"/>
                <w:szCs w:val="20"/>
                <w:lang w:eastAsia="uk-UA" w:bidi="uk-UA"/>
              </w:rPr>
              <w:t>3. </w:t>
            </w:r>
            <w:r w:rsidRPr="001301D3">
              <w:rPr>
                <w:rFonts w:ascii="Times New Roman" w:eastAsia="Times New Roman" w:hAnsi="Times New Roman" w:cs="Times New Roman"/>
                <w:color w:val="000000"/>
                <w:sz w:val="20"/>
                <w:szCs w:val="20"/>
                <w:lang w:eastAsia="uk-UA" w:bidi="uk-UA"/>
              </w:rPr>
              <w:t xml:space="preserve">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shd w:val="clear" w:color="auto" w:fill="auto"/>
          </w:tcPr>
          <w:p w14:paraId="1FFCE9EA" w14:textId="3690145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422EC8EE" w14:textId="1EE048F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17DF2FD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shd w:val="clear" w:color="auto" w:fill="auto"/>
          </w:tcPr>
          <w:p w14:paraId="683A7190" w14:textId="4F6D7C8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25239F3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629EFAA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shd w:val="clear" w:color="auto" w:fill="auto"/>
          </w:tcPr>
          <w:p w14:paraId="0801FEE8"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4F9CCCE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17" w:type="dxa"/>
            <w:shd w:val="clear" w:color="auto" w:fill="auto"/>
          </w:tcPr>
          <w:p w14:paraId="4D6D330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FA4FF95" w14:textId="77777777" w:rsidTr="001A4F82">
        <w:trPr>
          <w:trHeight w:val="473"/>
        </w:trPr>
        <w:tc>
          <w:tcPr>
            <w:tcW w:w="5723" w:type="dxa"/>
            <w:shd w:val="clear" w:color="auto" w:fill="auto"/>
          </w:tcPr>
          <w:p w14:paraId="7199C958" w14:textId="4DBD3054"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lang w:eastAsia="uk-UA" w:bidi="uk-UA"/>
              </w:rPr>
              <w:t>4. </w:t>
            </w:r>
            <w:r w:rsidRPr="001301D3">
              <w:rPr>
                <w:rFonts w:ascii="Times New Roman" w:eastAsia="Times New Roman" w:hAnsi="Times New Roman" w:cs="Times New Roman"/>
                <w:sz w:val="20"/>
                <w:szCs w:val="20"/>
                <w:lang w:eastAsia="uk-UA" w:bidi="uk-UA"/>
              </w:rPr>
              <w:t xml:space="preserve">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shd w:val="clear" w:color="auto" w:fill="auto"/>
          </w:tcPr>
          <w:p w14:paraId="0964A487" w14:textId="136F4055"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shd w:val="clear" w:color="auto" w:fill="auto"/>
          </w:tcPr>
          <w:p w14:paraId="7508830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shd w:val="clear" w:color="auto" w:fill="auto"/>
          </w:tcPr>
          <w:p w14:paraId="6298191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shd w:val="clear" w:color="auto" w:fill="auto"/>
          </w:tcPr>
          <w:p w14:paraId="00071D9D" w14:textId="69E44A7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2C07C17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shd w:val="clear" w:color="auto" w:fill="auto"/>
          </w:tcPr>
          <w:p w14:paraId="4096ADC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shd w:val="clear" w:color="auto" w:fill="auto"/>
          </w:tcPr>
          <w:p w14:paraId="6F94A851"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350A182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(https://www.rada.gov.ua/)</w:t>
            </w:r>
          </w:p>
        </w:tc>
        <w:tc>
          <w:tcPr>
            <w:tcW w:w="917" w:type="dxa"/>
            <w:shd w:val="clear" w:color="auto" w:fill="auto"/>
          </w:tcPr>
          <w:p w14:paraId="5F4D32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29C14868" w14:textId="77777777" w:rsidTr="001A4F82">
        <w:trPr>
          <w:trHeight w:val="470"/>
        </w:trPr>
        <w:tc>
          <w:tcPr>
            <w:tcW w:w="14874" w:type="dxa"/>
            <w:gridSpan w:val="9"/>
            <w:tcBorders>
              <w:right w:val="single" w:sz="4" w:space="0" w:color="auto"/>
            </w:tcBorders>
            <w:shd w:val="clear" w:color="auto" w:fill="E2EFD9"/>
            <w:vAlign w:val="center"/>
          </w:tcPr>
          <w:p w14:paraId="67EDD2EA" w14:textId="192BDBE2"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.3.1.2.</w:t>
            </w:r>
          </w:p>
        </w:tc>
      </w:tr>
      <w:tr w:rsidR="00B01FCC" w:rsidRPr="001301D3" w14:paraId="58854394" w14:textId="77777777" w:rsidTr="001A4F82">
        <w:trPr>
          <w:trHeight w:val="473"/>
        </w:trPr>
        <w:tc>
          <w:tcPr>
            <w:tcW w:w="5723" w:type="dxa"/>
          </w:tcPr>
          <w:p w14:paraId="464DC5A8" w14:textId="77777777"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яким:</w:t>
            </w:r>
          </w:p>
          <w:p w14:paraId="30A4A4C2" w14:textId="77777777"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встановлено вимоги щодо форми повідомлення про конфлікт інтересів;</w:t>
            </w:r>
          </w:p>
          <w:p w14:paraId="37518171" w14:textId="77777777"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lastRenderedPageBreak/>
              <w:t>- передбачено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4CDF9328" w14:textId="77777777"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узгоджено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w:t>
            </w:r>
          </w:p>
          <w:p w14:paraId="381D4DD5" w14:textId="77777777"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удосконалено механізми врегулювання конфлікту інтересів для осіб, які не мають безпосереднього керівника, у тому числі займають виборні посади;</w:t>
            </w:r>
          </w:p>
          <w:p w14:paraId="428B465D" w14:textId="68E4FEFD"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збільшено строк для прийняття рішення про врегулювання конфлікту інтересів.</w:t>
            </w:r>
          </w:p>
        </w:tc>
        <w:tc>
          <w:tcPr>
            <w:tcW w:w="1082" w:type="dxa"/>
          </w:tcPr>
          <w:p w14:paraId="3756A279" w14:textId="6AD17F66"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552B4655" w14:textId="28D4B93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78360F5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CF80627" w14:textId="6055CE9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210D5D1"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3AE78FF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розроблено та оприлюднено для проведення </w:t>
            </w:r>
            <w:r w:rsidRPr="001301D3">
              <w:rPr>
                <w:rFonts w:ascii="Times New Roman" w:eastAsia="Times New Roman" w:hAnsi="Times New Roman" w:cs="Times New Roman"/>
                <w:color w:val="000000"/>
                <w:sz w:val="16"/>
                <w:szCs w:val="16"/>
                <w:lang w:eastAsia="uk-UA" w:bidi="uk-UA"/>
              </w:rPr>
              <w:lastRenderedPageBreak/>
              <w:t>громадського обговорення</w:t>
            </w:r>
          </w:p>
        </w:tc>
        <w:tc>
          <w:tcPr>
            <w:tcW w:w="1082" w:type="dxa"/>
          </w:tcPr>
          <w:p w14:paraId="608BA750"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lastRenderedPageBreak/>
              <w:t>1. НАЗК;</w:t>
            </w:r>
          </w:p>
          <w:p w14:paraId="689E9010"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сайт НАЗК </w:t>
            </w:r>
            <w:r w:rsidRPr="001301D3">
              <w:rPr>
                <w:rFonts w:ascii="Times New Roman" w:eastAsia="Times New Roman" w:hAnsi="Times New Roman" w:cs="Times New Roman"/>
                <w:color w:val="000000"/>
                <w:sz w:val="16"/>
                <w:szCs w:val="16"/>
                <w:lang w:eastAsia="uk-UA" w:bidi="uk-UA"/>
              </w:rPr>
              <w:lastRenderedPageBreak/>
              <w:t>(</w:t>
            </w:r>
            <w:hyperlink r:id="rId8"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2609942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Проект закону не розроблено</w:t>
            </w:r>
          </w:p>
        </w:tc>
      </w:tr>
      <w:tr w:rsidR="00B01FCC" w:rsidRPr="001301D3" w14:paraId="748288D7" w14:textId="77777777" w:rsidTr="001A4F82">
        <w:trPr>
          <w:trHeight w:val="473"/>
        </w:trPr>
        <w:tc>
          <w:tcPr>
            <w:tcW w:w="5723" w:type="dxa"/>
          </w:tcPr>
          <w:p w14:paraId="0B7E7370" w14:textId="7FFA5181"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1.3.1.2.</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0501412E" w14:textId="5410422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619C8D3" w14:textId="503C2D4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163A067E"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B17E052" w14:textId="66D7D62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E058DB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661B97B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4B979A9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9"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1212C0F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07C051E" w14:textId="77777777" w:rsidTr="001A4F82">
        <w:trPr>
          <w:trHeight w:val="473"/>
        </w:trPr>
        <w:tc>
          <w:tcPr>
            <w:tcW w:w="5723" w:type="dxa"/>
          </w:tcPr>
          <w:p w14:paraId="4EC8A5A1" w14:textId="6D532ACE"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1.3.1.2.</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tcPr>
          <w:p w14:paraId="0B32DBE2" w14:textId="40A68D3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1336ACB" w14:textId="0A4A03C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tcPr>
          <w:p w14:paraId="4C94BB8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00EACBFD" w14:textId="21F9D76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AA06740"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06A5E0E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tcPr>
          <w:p w14:paraId="24B1333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3D069B2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17" w:type="dxa"/>
          </w:tcPr>
          <w:p w14:paraId="417AD64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002603C4" w14:textId="77777777" w:rsidTr="001A4F82">
        <w:trPr>
          <w:trHeight w:val="473"/>
        </w:trPr>
        <w:tc>
          <w:tcPr>
            <w:tcW w:w="5723" w:type="dxa"/>
          </w:tcPr>
          <w:p w14:paraId="50DD0BC4" w14:textId="123CF9A4"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B01FCC">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1.3.1.</w:t>
            </w:r>
            <w:r>
              <w:rPr>
                <w:rFonts w:ascii="Times New Roman" w:eastAsia="Times New Roman" w:hAnsi="Times New Roman" w:cs="Times New Roman"/>
                <w:color w:val="000000"/>
                <w:sz w:val="20"/>
                <w:szCs w:val="20"/>
                <w:lang w:eastAsia="uk-UA" w:bidi="uk-UA"/>
              </w:rPr>
              <w:t>2</w:t>
            </w:r>
            <w:r w:rsidRPr="00B01FCC">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22486701" w14:textId="68769A6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4EA4632F" w14:textId="290F3824"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137DE967"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606FDA66" w14:textId="1DDC933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E1A6DE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16F7BBA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38E76D28"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21536FC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(https://www.rada.gov.ua/)</w:t>
            </w:r>
          </w:p>
        </w:tc>
        <w:tc>
          <w:tcPr>
            <w:tcW w:w="917" w:type="dxa"/>
          </w:tcPr>
          <w:p w14:paraId="18F4BDE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203F6B83" w14:textId="77777777" w:rsidTr="001A4F82">
        <w:trPr>
          <w:trHeight w:val="470"/>
        </w:trPr>
        <w:tc>
          <w:tcPr>
            <w:tcW w:w="14874" w:type="dxa"/>
            <w:gridSpan w:val="9"/>
            <w:tcBorders>
              <w:right w:val="single" w:sz="4" w:space="0" w:color="auto"/>
            </w:tcBorders>
            <w:shd w:val="clear" w:color="auto" w:fill="E2EFD9"/>
            <w:vAlign w:val="center"/>
          </w:tcPr>
          <w:p w14:paraId="4D6B1632" w14:textId="3417215A"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.3.1.3.</w:t>
            </w:r>
          </w:p>
        </w:tc>
      </w:tr>
      <w:tr w:rsidR="00B01FCC" w:rsidRPr="001301D3" w14:paraId="0EFB5D0B" w14:textId="77777777" w:rsidTr="001A4F82">
        <w:trPr>
          <w:trHeight w:val="473"/>
        </w:trPr>
        <w:tc>
          <w:tcPr>
            <w:tcW w:w="5723" w:type="dxa"/>
          </w:tcPr>
          <w:p w14:paraId="47469108" w14:textId="7502402E"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яким:</w:t>
            </w:r>
          </w:p>
          <w:p w14:paraId="7936C5F5" w14:textId="77777777"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xml:space="preserve">- розширено перелік можливих способів самостійного врегулювання конфлікту інтересів; </w:t>
            </w:r>
          </w:p>
          <w:p w14:paraId="7044D317" w14:textId="16E01CE2"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color w:val="000000"/>
                <w:sz w:val="20"/>
                <w:szCs w:val="20"/>
                <w:lang w:eastAsia="uk-UA" w:bidi="uk-UA"/>
              </w:rPr>
              <w:t xml:space="preserve">- узгоджено процедури зовнішнього та самостійного врегулювання конфлікту інтересів, зокрема, в частині строків </w:t>
            </w:r>
            <w:r w:rsidRPr="001301D3">
              <w:rPr>
                <w:rFonts w:ascii="Times New Roman" w:eastAsia="Times New Roman" w:hAnsi="Times New Roman" w:cs="Times New Roman"/>
                <w:color w:val="000000"/>
                <w:sz w:val="20"/>
                <w:szCs w:val="20"/>
                <w:lang w:eastAsia="uk-UA" w:bidi="uk-UA"/>
              </w:rPr>
              <w:lastRenderedPageBreak/>
              <w:t>повідомлення про конфлікт інтересів, його зовнішнього врегулювання та строків самостійного його врегулювання.</w:t>
            </w:r>
          </w:p>
        </w:tc>
        <w:tc>
          <w:tcPr>
            <w:tcW w:w="1082" w:type="dxa"/>
          </w:tcPr>
          <w:p w14:paraId="40CD57AB" w14:textId="2C3B503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2288C72" w14:textId="4637BB0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8A0B87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08D0CEC0" w14:textId="18E8719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D984D5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66DC58F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2E4E3C26"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0A6642A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10"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10184AD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74C0BE23" w14:textId="77777777" w:rsidTr="001A4F82">
        <w:trPr>
          <w:trHeight w:val="473"/>
        </w:trPr>
        <w:tc>
          <w:tcPr>
            <w:tcW w:w="5723" w:type="dxa"/>
          </w:tcPr>
          <w:p w14:paraId="5C2D210C" w14:textId="11C0A21E"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B01FCC">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1.3.1.</w:t>
            </w:r>
            <w:r>
              <w:rPr>
                <w:rFonts w:ascii="Times New Roman" w:eastAsia="Times New Roman" w:hAnsi="Times New Roman" w:cs="Times New Roman"/>
                <w:color w:val="000000"/>
                <w:sz w:val="20"/>
                <w:szCs w:val="20"/>
                <w:lang w:eastAsia="uk-UA" w:bidi="uk-UA"/>
              </w:rPr>
              <w:t>3</w:t>
            </w:r>
            <w:r w:rsidRPr="00B01FCC">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6DC516F4" w14:textId="1E9F7C9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FBC268B" w14:textId="6424E1B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201FA3A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78D6DD04" w14:textId="04805D5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5E9D2F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565053E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62AED75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11"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6889424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1F85EFDC" w14:textId="77777777" w:rsidTr="001A4F82">
        <w:trPr>
          <w:trHeight w:val="473"/>
        </w:trPr>
        <w:tc>
          <w:tcPr>
            <w:tcW w:w="5723" w:type="dxa"/>
          </w:tcPr>
          <w:p w14:paraId="214B39D4" w14:textId="3798936E"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1.3.1.3.</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tcPr>
          <w:p w14:paraId="4D71D070" w14:textId="3D3379E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0B1ED25" w14:textId="03637C2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tcPr>
          <w:p w14:paraId="24E37FC8"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46A9DF3E" w14:textId="1150210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DE6213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0095371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tcPr>
          <w:p w14:paraId="776E32DB"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59A1F7C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17" w:type="dxa"/>
          </w:tcPr>
          <w:p w14:paraId="35ABEBE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08A5C860" w14:textId="77777777" w:rsidTr="001A4F82">
        <w:trPr>
          <w:trHeight w:val="473"/>
        </w:trPr>
        <w:tc>
          <w:tcPr>
            <w:tcW w:w="5723" w:type="dxa"/>
          </w:tcPr>
          <w:p w14:paraId="704F96D2" w14:textId="7D97072D"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1.3.1.3.</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6E54F150" w14:textId="61AB762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4BBA85B2" w14:textId="72D9502F"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4DA7CC6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3959D4AD" w14:textId="6590E45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640C65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E05DB1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01B3A368"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6720099C" w14:textId="09E1E589"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w:t>
            </w:r>
            <w:hyperlink r:id="rId12"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sz w:val="16"/>
                <w:szCs w:val="16"/>
                <w:lang w:eastAsia="uk-UA" w:bidi="uk-UA"/>
              </w:rPr>
              <w:t>)</w:t>
            </w:r>
          </w:p>
          <w:p w14:paraId="63908546" w14:textId="18ED6A9F"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3A55CCF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60B0ECBC" w14:textId="77777777" w:rsidTr="001A4F82">
        <w:trPr>
          <w:trHeight w:val="470"/>
        </w:trPr>
        <w:tc>
          <w:tcPr>
            <w:tcW w:w="14874" w:type="dxa"/>
            <w:gridSpan w:val="9"/>
            <w:tcBorders>
              <w:right w:val="single" w:sz="4" w:space="0" w:color="auto"/>
            </w:tcBorders>
            <w:shd w:val="clear" w:color="auto" w:fill="E2EFD9"/>
            <w:vAlign w:val="center"/>
          </w:tcPr>
          <w:p w14:paraId="5B04C2C5" w14:textId="2EC0B70F"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.3.1.4.</w:t>
            </w:r>
          </w:p>
        </w:tc>
      </w:tr>
      <w:tr w:rsidR="00B01FCC" w:rsidRPr="001301D3" w14:paraId="77CE7E6D" w14:textId="77777777" w:rsidTr="001A4F82">
        <w:trPr>
          <w:trHeight w:val="473"/>
        </w:trPr>
        <w:tc>
          <w:tcPr>
            <w:tcW w:w="5723" w:type="dxa"/>
          </w:tcPr>
          <w:p w14:paraId="197A930B" w14:textId="11DB0A16" w:rsidR="00B01FCC" w:rsidRPr="00EA7B13" w:rsidRDefault="00B01FCC" w:rsidP="00B01FCC">
            <w:pPr>
              <w:ind w:firstLine="284"/>
              <w:jc w:val="both"/>
              <w:rPr>
                <w:rFonts w:ascii="Times New Roman" w:eastAsia="Times New Roman" w:hAnsi="Times New Roman" w:cs="Times New Roman"/>
                <w:sz w:val="20"/>
                <w:szCs w:val="20"/>
                <w:lang w:eastAsia="uk-UA" w:bidi="uk-UA"/>
              </w:rPr>
            </w:pPr>
            <w:r w:rsidRPr="00EA7B13">
              <w:rPr>
                <w:rFonts w:ascii="Times New Roman" w:eastAsia="Times New Roman" w:hAnsi="Times New Roman" w:cs="Times New Roman"/>
                <w:b/>
                <w:color w:val="000000"/>
                <w:sz w:val="20"/>
                <w:szCs w:val="20"/>
                <w:lang w:eastAsia="uk-UA" w:bidi="uk-UA"/>
              </w:rPr>
              <w:t>1.</w:t>
            </w:r>
            <w:r w:rsidRPr="00EA7B13">
              <w:rPr>
                <w:rFonts w:ascii="Times New Roman" w:eastAsia="Times New Roman" w:hAnsi="Times New Roman" w:cs="Times New Roman"/>
                <w:color w:val="000000"/>
                <w:sz w:val="20"/>
                <w:szCs w:val="20"/>
                <w:lang w:eastAsia="uk-UA" w:bidi="uk-UA"/>
              </w:rPr>
              <w:t xml:space="preserve"> Розроблення проекту закону, </w:t>
            </w:r>
            <w:r w:rsidRPr="00EA7B13">
              <w:rPr>
                <w:rFonts w:ascii="Times New Roman" w:eastAsia="Times New Roman" w:hAnsi="Times New Roman" w:cs="Times New Roman"/>
                <w:sz w:val="20"/>
                <w:szCs w:val="20"/>
                <w:lang w:eastAsia="uk-UA" w:bidi="uk-UA"/>
              </w:rPr>
              <w:t xml:space="preserve">який встановлює </w:t>
            </w:r>
            <w:r w:rsidRPr="00EA7B13">
              <w:rPr>
                <w:rFonts w:ascii="Times New Roman" w:eastAsia="Times New Roman" w:hAnsi="Times New Roman" w:cs="Times New Roman"/>
                <w:color w:val="000000"/>
                <w:sz w:val="20"/>
                <w:szCs w:val="20"/>
                <w:lang w:eastAsia="uk-UA" w:bidi="uk-UA"/>
              </w:rPr>
              <w:t xml:space="preserve">заборони на прийняття рішень, вчинення дій чи укладення угод у певних типових ситуаціях (у яких безумовно має місце реальний конфлікт інтересів) як спосіб запобігання конфлікту інтересів, зокрема стосовно себе та близьких осіб, юридичних осіб, у яких посадова особа або близька їй особа є засновником, кінцевим </w:t>
            </w:r>
            <w:proofErr w:type="spellStart"/>
            <w:r w:rsidRPr="00EA7B13">
              <w:rPr>
                <w:rFonts w:ascii="Times New Roman" w:eastAsia="Times New Roman" w:hAnsi="Times New Roman" w:cs="Times New Roman"/>
                <w:color w:val="000000"/>
                <w:sz w:val="20"/>
                <w:szCs w:val="20"/>
                <w:lang w:eastAsia="uk-UA" w:bidi="uk-UA"/>
              </w:rPr>
              <w:t>бенефеціарним</w:t>
            </w:r>
            <w:proofErr w:type="spellEnd"/>
            <w:r w:rsidRPr="00EA7B13">
              <w:rPr>
                <w:rFonts w:ascii="Times New Roman" w:eastAsia="Times New Roman" w:hAnsi="Times New Roman" w:cs="Times New Roman"/>
                <w:color w:val="000000"/>
                <w:sz w:val="20"/>
                <w:szCs w:val="20"/>
                <w:lang w:eastAsia="uk-UA" w:bidi="uk-UA"/>
              </w:rPr>
              <w:t xml:space="preserve"> власником чи керівником таких юридичних осіб.</w:t>
            </w:r>
          </w:p>
        </w:tc>
        <w:tc>
          <w:tcPr>
            <w:tcW w:w="1082" w:type="dxa"/>
          </w:tcPr>
          <w:p w14:paraId="3DD10DCF" w14:textId="76EF918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0B79F17" w14:textId="35C8D07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Липень</w:t>
            </w:r>
            <w:r w:rsidRPr="001301D3">
              <w:rPr>
                <w:rFonts w:ascii="Times New Roman" w:eastAsia="Times New Roman" w:hAnsi="Times New Roman" w:cs="Times New Roman"/>
                <w:color w:val="000000"/>
                <w:sz w:val="16"/>
                <w:szCs w:val="16"/>
                <w:lang w:eastAsia="uk-UA" w:bidi="uk-UA"/>
              </w:rPr>
              <w:t xml:space="preserve"> 2023 р.</w:t>
            </w:r>
          </w:p>
        </w:tc>
        <w:tc>
          <w:tcPr>
            <w:tcW w:w="949" w:type="dxa"/>
          </w:tcPr>
          <w:p w14:paraId="6F5EFC1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29F9C3D1" w14:textId="2797F8A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DD9EB1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FC16C07" w14:textId="77777777" w:rsidR="00B01FCC"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p w14:paraId="5C1C93BE" w14:textId="5218E2CB" w:rsidR="00B01FCC" w:rsidRPr="001301D3" w:rsidRDefault="00B01FCC" w:rsidP="00B01FCC">
            <w:pPr>
              <w:jc w:val="center"/>
              <w:rPr>
                <w:rFonts w:ascii="Times New Roman" w:eastAsia="Times New Roman" w:hAnsi="Times New Roman" w:cs="Times New Roman"/>
                <w:b/>
                <w:sz w:val="20"/>
                <w:szCs w:val="20"/>
              </w:rPr>
            </w:pPr>
          </w:p>
        </w:tc>
        <w:tc>
          <w:tcPr>
            <w:tcW w:w="1082" w:type="dxa"/>
          </w:tcPr>
          <w:p w14:paraId="4F5CB77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32F7291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13"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4EF067E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0455F919" w14:textId="77777777" w:rsidTr="001A4F82">
        <w:trPr>
          <w:trHeight w:val="473"/>
        </w:trPr>
        <w:tc>
          <w:tcPr>
            <w:tcW w:w="5723" w:type="dxa"/>
          </w:tcPr>
          <w:p w14:paraId="47D50B51" w14:textId="11B5558B"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0C2099C2" w14:textId="5FAFACDB"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CB2B715" w14:textId="5BDD834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Вересень</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F2695B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264B7045" w14:textId="259BB39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71EBD2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8CD017F" w14:textId="77777777"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p w14:paraId="314BD3A5" w14:textId="5A59F9B2" w:rsidR="00B01FCC" w:rsidRPr="001301D3" w:rsidRDefault="00B01FCC" w:rsidP="00B01FCC">
            <w:pPr>
              <w:jc w:val="center"/>
              <w:rPr>
                <w:rFonts w:ascii="Times New Roman" w:eastAsia="Times New Roman" w:hAnsi="Times New Roman" w:cs="Times New Roman"/>
                <w:b/>
                <w:sz w:val="20"/>
                <w:szCs w:val="20"/>
              </w:rPr>
            </w:pPr>
          </w:p>
        </w:tc>
        <w:tc>
          <w:tcPr>
            <w:tcW w:w="1082" w:type="dxa"/>
          </w:tcPr>
          <w:p w14:paraId="45031D2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14"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23836F6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952FC4" w14:textId="77777777" w:rsidTr="001A4F82">
        <w:trPr>
          <w:trHeight w:val="473"/>
        </w:trPr>
        <w:tc>
          <w:tcPr>
            <w:tcW w:w="5723" w:type="dxa"/>
          </w:tcPr>
          <w:p w14:paraId="7141E169" w14:textId="38D2DDFE"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xml:space="preserve">, із </w:t>
            </w:r>
            <w:r w:rsidRPr="001301D3">
              <w:rPr>
                <w:rFonts w:ascii="Times New Roman" w:eastAsia="Times New Roman" w:hAnsi="Times New Roman" w:cs="Times New Roman"/>
                <w:color w:val="000000"/>
                <w:sz w:val="20"/>
                <w:szCs w:val="20"/>
                <w:lang w:eastAsia="uk-UA" w:bidi="uk-UA"/>
              </w:rPr>
              <w:lastRenderedPageBreak/>
              <w:t>заінтересованими органами, проведення правової експертизи, подання до Кабінету Міністрів України та супровід в Уряді.</w:t>
            </w:r>
          </w:p>
        </w:tc>
        <w:tc>
          <w:tcPr>
            <w:tcW w:w="1082" w:type="dxa"/>
          </w:tcPr>
          <w:p w14:paraId="26AB041E" w14:textId="18075BE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 xml:space="preserve"> Жовтень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D27E730" w14:textId="6A5EA60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Листопад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3 </w:t>
            </w:r>
            <w:r w:rsidRPr="001301D3">
              <w:rPr>
                <w:rFonts w:ascii="Times New Roman" w:eastAsia="Times New Roman" w:hAnsi="Times New Roman" w:cs="Times New Roman"/>
                <w:color w:val="000000"/>
                <w:sz w:val="16"/>
                <w:szCs w:val="16"/>
                <w:lang w:eastAsia="uk-UA" w:bidi="uk-UA"/>
              </w:rPr>
              <w:t>р.</w:t>
            </w:r>
          </w:p>
        </w:tc>
        <w:tc>
          <w:tcPr>
            <w:tcW w:w="949" w:type="dxa"/>
          </w:tcPr>
          <w:p w14:paraId="1EDCEA1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1C0C488C" w14:textId="0B1C35A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E47E97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 xml:space="preserve">У межах встановлених бюджетних </w:t>
            </w:r>
            <w:r w:rsidRPr="001301D3">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479" w:type="dxa"/>
          </w:tcPr>
          <w:p w14:paraId="47D371F0"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lastRenderedPageBreak/>
              <w:t>Законопроект схвалено Урядом та зареєстровано в Парламенті</w:t>
            </w:r>
          </w:p>
        </w:tc>
        <w:tc>
          <w:tcPr>
            <w:tcW w:w="1082" w:type="dxa"/>
          </w:tcPr>
          <w:p w14:paraId="15C6CE85"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06ED7EF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w:t>
            </w:r>
            <w:r w:rsidRPr="001301D3">
              <w:rPr>
                <w:rFonts w:ascii="Times New Roman" w:eastAsia="Times New Roman" w:hAnsi="Times New Roman" w:cs="Times New Roman"/>
                <w:color w:val="000000"/>
                <w:sz w:val="16"/>
                <w:szCs w:val="16"/>
                <w:lang w:eastAsia="uk-UA" w:bidi="uk-UA"/>
              </w:rPr>
              <w:lastRenderedPageBreak/>
              <w:t>України (https://www.rada.gov.ua/)</w:t>
            </w:r>
          </w:p>
        </w:tc>
        <w:tc>
          <w:tcPr>
            <w:tcW w:w="917" w:type="dxa"/>
          </w:tcPr>
          <w:p w14:paraId="602D6C00"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w:t>
            </w:r>
          </w:p>
        </w:tc>
      </w:tr>
      <w:tr w:rsidR="00B01FCC" w:rsidRPr="001301D3" w14:paraId="6095583D" w14:textId="77777777" w:rsidTr="001A4F82">
        <w:trPr>
          <w:trHeight w:val="473"/>
        </w:trPr>
        <w:tc>
          <w:tcPr>
            <w:tcW w:w="5723" w:type="dxa"/>
          </w:tcPr>
          <w:p w14:paraId="7B563E07" w14:textId="3A076591"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48800708" w14:textId="00F37CC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Листопад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729A99C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3009E89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072BDFF7" w14:textId="0F51E4C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93BBFA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4352B7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46D21381"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74B45969" w14:textId="6B40E326"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w:t>
            </w:r>
            <w:hyperlink r:id="rId15"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sz w:val="16"/>
                <w:szCs w:val="16"/>
                <w:lang w:eastAsia="uk-UA" w:bidi="uk-UA"/>
              </w:rPr>
              <w:t>)</w:t>
            </w:r>
          </w:p>
          <w:p w14:paraId="04432571" w14:textId="7BBF4B30"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1F0010E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79451E23" w14:textId="77777777" w:rsidTr="001A4F82">
        <w:trPr>
          <w:trHeight w:val="470"/>
        </w:trPr>
        <w:tc>
          <w:tcPr>
            <w:tcW w:w="14874" w:type="dxa"/>
            <w:gridSpan w:val="9"/>
            <w:tcBorders>
              <w:right w:val="single" w:sz="4" w:space="0" w:color="auto"/>
            </w:tcBorders>
            <w:shd w:val="clear" w:color="auto" w:fill="E2EFD9"/>
            <w:vAlign w:val="center"/>
          </w:tcPr>
          <w:p w14:paraId="5C6712B2" w14:textId="04DB6A2A"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.3.1.5.</w:t>
            </w:r>
          </w:p>
        </w:tc>
      </w:tr>
      <w:tr w:rsidR="00B01FCC" w:rsidRPr="001301D3" w14:paraId="4BABC7A2" w14:textId="77777777" w:rsidTr="001A4F82">
        <w:trPr>
          <w:trHeight w:val="473"/>
        </w:trPr>
        <w:tc>
          <w:tcPr>
            <w:tcW w:w="5723" w:type="dxa"/>
          </w:tcPr>
          <w:p w14:paraId="50F9F95F" w14:textId="77777777"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який:</w:t>
            </w:r>
          </w:p>
          <w:p w14:paraId="20E09D56" w14:textId="25EF821C" w:rsidR="00B01FCC" w:rsidRPr="00010E5B"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встановлює</w:t>
            </w:r>
            <w:r w:rsidRPr="00010E5B">
              <w:rPr>
                <w:rFonts w:ascii="Times New Roman" w:eastAsia="Times New Roman" w:hAnsi="Times New Roman" w:cs="Times New Roman"/>
                <w:color w:val="000000"/>
                <w:sz w:val="20"/>
                <w:szCs w:val="20"/>
                <w:lang w:eastAsia="uk-UA" w:bidi="uk-UA"/>
              </w:rPr>
              <w:t xml:space="preserve"> обов’язок передавати в управління підприємства та корпоративні прав, які набуваються вже після призначення (обрання) особи на посаду; </w:t>
            </w:r>
          </w:p>
          <w:p w14:paraId="6400AE54" w14:textId="77777777" w:rsidR="00B01FCC" w:rsidRPr="00010E5B"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встановлює заборону передавати в управління</w:t>
            </w:r>
            <w:r w:rsidRPr="00010E5B">
              <w:rPr>
                <w:rFonts w:ascii="Times New Roman" w:eastAsia="Times New Roman" w:hAnsi="Times New Roman" w:cs="Times New Roman"/>
                <w:color w:val="000000"/>
                <w:sz w:val="20"/>
                <w:szCs w:val="20"/>
                <w:lang w:eastAsia="uk-UA" w:bidi="uk-UA"/>
              </w:rPr>
              <w:t xml:space="preserve"> належні посадовцю підприємства та корпоративні права близьким особам; </w:t>
            </w:r>
          </w:p>
          <w:p w14:paraId="092CAE4D" w14:textId="6A3EF44E"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color w:val="000000"/>
                <w:sz w:val="20"/>
                <w:szCs w:val="20"/>
                <w:lang w:eastAsia="uk-UA" w:bidi="uk-UA"/>
              </w:rPr>
              <w:t>- встановлює</w:t>
            </w:r>
            <w:r w:rsidRPr="00010E5B">
              <w:rPr>
                <w:rFonts w:ascii="Times New Roman" w:eastAsia="Times New Roman" w:hAnsi="Times New Roman" w:cs="Times New Roman"/>
                <w:color w:val="000000"/>
                <w:sz w:val="20"/>
                <w:szCs w:val="20"/>
                <w:lang w:eastAsia="uk-UA" w:bidi="uk-UA"/>
              </w:rPr>
              <w:t xml:space="preserve"> заборону на прийняття рішень чи вчинення дій стосовно юридичних осіб, </w:t>
            </w:r>
            <w:r w:rsidRPr="001301D3">
              <w:rPr>
                <w:rFonts w:ascii="Times New Roman" w:eastAsia="Times New Roman" w:hAnsi="Times New Roman" w:cs="Times New Roman"/>
                <w:color w:val="000000"/>
                <w:sz w:val="20"/>
                <w:szCs w:val="20"/>
                <w:lang w:eastAsia="uk-UA" w:bidi="uk-UA"/>
              </w:rPr>
              <w:t xml:space="preserve">засновниками, </w:t>
            </w:r>
            <w:proofErr w:type="spellStart"/>
            <w:r w:rsidRPr="001301D3">
              <w:rPr>
                <w:rFonts w:ascii="Times New Roman" w:eastAsia="Times New Roman" w:hAnsi="Times New Roman" w:cs="Times New Roman"/>
                <w:color w:val="000000"/>
                <w:sz w:val="20"/>
                <w:szCs w:val="20"/>
                <w:lang w:eastAsia="uk-UA" w:bidi="uk-UA"/>
              </w:rPr>
              <w:t>бенефіціарами</w:t>
            </w:r>
            <w:proofErr w:type="spellEnd"/>
            <w:r w:rsidRPr="001301D3">
              <w:rPr>
                <w:rFonts w:ascii="Times New Roman" w:eastAsia="Times New Roman" w:hAnsi="Times New Roman" w:cs="Times New Roman"/>
                <w:color w:val="000000"/>
                <w:sz w:val="20"/>
                <w:szCs w:val="20"/>
                <w:lang w:eastAsia="uk-UA" w:bidi="uk-UA"/>
              </w:rPr>
              <w:t xml:space="preserve"> чи керівниками яких є сам публічний службовець чи його близькі особи.</w:t>
            </w:r>
          </w:p>
        </w:tc>
        <w:tc>
          <w:tcPr>
            <w:tcW w:w="1082" w:type="dxa"/>
          </w:tcPr>
          <w:p w14:paraId="0EC131BD" w14:textId="4E63572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Вересень 2023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42FE91A" w14:textId="7A01911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Грудень</w:t>
            </w:r>
            <w:r w:rsidRPr="001301D3">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2023 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4D0E7F5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037C781" w14:textId="142EEE5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6ED81B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5096523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31DD4181"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1026C1D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16"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9E61B2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75F11A3D" w14:textId="77777777" w:rsidTr="001A4F82">
        <w:trPr>
          <w:trHeight w:val="473"/>
        </w:trPr>
        <w:tc>
          <w:tcPr>
            <w:tcW w:w="5723" w:type="dxa"/>
          </w:tcPr>
          <w:p w14:paraId="18167B5A" w14:textId="113D1883"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227C3AFF" w14:textId="1A5AE6D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1FE64553" w14:textId="7729D19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Березень</w:t>
            </w:r>
            <w:r w:rsidRPr="001301D3">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FFE4350"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38693CD0" w14:textId="45DF7F6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84ECED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262727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55CEF17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17"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7F1223B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8B029E" w14:textId="77777777" w:rsidTr="001A4F82">
        <w:trPr>
          <w:trHeight w:val="473"/>
        </w:trPr>
        <w:tc>
          <w:tcPr>
            <w:tcW w:w="5723" w:type="dxa"/>
          </w:tcPr>
          <w:p w14:paraId="3D88929E" w14:textId="1B281BDD"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tcPr>
          <w:p w14:paraId="73BA763A" w14:textId="2DD7A3A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3B58BB74" w14:textId="6F62E9F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61C1B0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0F456C68" w14:textId="7C1BBAA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55C803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78B06F4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tcPr>
          <w:p w14:paraId="23AB3119"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2C8638D6" w14:textId="32164532" w:rsidR="00B01FCC"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w:t>
            </w:r>
            <w:hyperlink r:id="rId18"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color w:val="000000"/>
                <w:sz w:val="16"/>
                <w:szCs w:val="16"/>
                <w:lang w:eastAsia="uk-UA" w:bidi="uk-UA"/>
              </w:rPr>
              <w:t>)</w:t>
            </w:r>
          </w:p>
          <w:p w14:paraId="7987483F" w14:textId="0F2C2B4F"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55EB939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6EECF70D" w14:textId="77777777" w:rsidTr="001A4F82">
        <w:trPr>
          <w:trHeight w:val="473"/>
        </w:trPr>
        <w:tc>
          <w:tcPr>
            <w:tcW w:w="5723" w:type="dxa"/>
          </w:tcPr>
          <w:p w14:paraId="74F048A7" w14:textId="5FF2B474"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color w:val="000000"/>
                <w:sz w:val="20"/>
                <w:szCs w:val="20"/>
                <w:lang w:eastAsia="uk-UA" w:bidi="uk-UA"/>
              </w:rPr>
              <w:lastRenderedPageBreak/>
              <w:t>у Верховній Раді України (в тому числі, у разі застосування до нього Президентом України права вето).</w:t>
            </w:r>
          </w:p>
        </w:tc>
        <w:tc>
          <w:tcPr>
            <w:tcW w:w="1082" w:type="dxa"/>
          </w:tcPr>
          <w:p w14:paraId="095FC206" w14:textId="17C0E60B"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lastRenderedPageBreak/>
              <w:t xml:space="preserve">Травень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4 </w:t>
            </w:r>
            <w:r w:rsidRPr="001301D3">
              <w:rPr>
                <w:rFonts w:ascii="Times New Roman" w:eastAsia="Times New Roman" w:hAnsi="Times New Roman" w:cs="Times New Roman"/>
                <w:sz w:val="16"/>
                <w:szCs w:val="16"/>
                <w:lang w:eastAsia="uk-UA" w:bidi="uk-UA"/>
              </w:rPr>
              <w:t>р</w:t>
            </w:r>
            <w:r>
              <w:rPr>
                <w:rFonts w:ascii="Times New Roman" w:eastAsia="Times New Roman" w:hAnsi="Times New Roman" w:cs="Times New Roman"/>
                <w:sz w:val="16"/>
                <w:szCs w:val="16"/>
                <w:lang w:eastAsia="uk-UA" w:bidi="uk-UA"/>
              </w:rPr>
              <w:t xml:space="preserve"> </w:t>
            </w:r>
            <w:r w:rsidRPr="001301D3">
              <w:rPr>
                <w:rFonts w:ascii="Times New Roman" w:eastAsia="Times New Roman" w:hAnsi="Times New Roman" w:cs="Times New Roman"/>
                <w:sz w:val="16"/>
                <w:szCs w:val="16"/>
                <w:lang w:eastAsia="uk-UA" w:bidi="uk-UA"/>
              </w:rPr>
              <w:t>.</w:t>
            </w:r>
          </w:p>
        </w:tc>
        <w:tc>
          <w:tcPr>
            <w:tcW w:w="949" w:type="dxa"/>
          </w:tcPr>
          <w:p w14:paraId="39A30DBD" w14:textId="5E0FB7C0"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 xml:space="preserve">До підписання закону </w:t>
            </w:r>
            <w:r w:rsidRPr="001301D3">
              <w:rPr>
                <w:rFonts w:ascii="Times New Roman" w:eastAsia="Times New Roman" w:hAnsi="Times New Roman" w:cs="Times New Roman"/>
                <w:sz w:val="16"/>
                <w:szCs w:val="16"/>
                <w:lang w:eastAsia="uk-UA" w:bidi="uk-UA"/>
              </w:rPr>
              <w:lastRenderedPageBreak/>
              <w:t>Президентом України</w:t>
            </w:r>
          </w:p>
        </w:tc>
        <w:tc>
          <w:tcPr>
            <w:tcW w:w="949" w:type="dxa"/>
          </w:tcPr>
          <w:p w14:paraId="3F52CFE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lastRenderedPageBreak/>
              <w:t>НАЗК</w:t>
            </w:r>
          </w:p>
        </w:tc>
        <w:tc>
          <w:tcPr>
            <w:tcW w:w="1347" w:type="dxa"/>
          </w:tcPr>
          <w:p w14:paraId="66FF566A" w14:textId="4AED754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CA31D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 xml:space="preserve">У межах встановлених бюджетних </w:t>
            </w:r>
            <w:r w:rsidRPr="001301D3">
              <w:rPr>
                <w:rFonts w:ascii="Times New Roman" w:eastAsia="Times New Roman" w:hAnsi="Times New Roman" w:cs="Times New Roman"/>
                <w:sz w:val="16"/>
                <w:szCs w:val="16"/>
                <w:lang w:eastAsia="uk-UA" w:bidi="uk-UA"/>
              </w:rPr>
              <w:lastRenderedPageBreak/>
              <w:t>призначень на відповідний рік</w:t>
            </w:r>
          </w:p>
        </w:tc>
        <w:tc>
          <w:tcPr>
            <w:tcW w:w="1479" w:type="dxa"/>
          </w:tcPr>
          <w:p w14:paraId="48BD7CB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lastRenderedPageBreak/>
              <w:t>Закон підписано Президентом України</w:t>
            </w:r>
          </w:p>
        </w:tc>
        <w:tc>
          <w:tcPr>
            <w:tcW w:w="1082" w:type="dxa"/>
          </w:tcPr>
          <w:p w14:paraId="2865E1EE"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1. Офіційні друковані </w:t>
            </w:r>
            <w:r w:rsidRPr="001301D3">
              <w:rPr>
                <w:rFonts w:ascii="Times New Roman" w:eastAsia="Times New Roman" w:hAnsi="Times New Roman" w:cs="Times New Roman"/>
                <w:sz w:val="16"/>
                <w:szCs w:val="16"/>
                <w:lang w:eastAsia="uk-UA" w:bidi="uk-UA"/>
              </w:rPr>
              <w:lastRenderedPageBreak/>
              <w:t>видання України.</w:t>
            </w:r>
          </w:p>
          <w:p w14:paraId="2DEA7039" w14:textId="07FCFABF"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w:t>
            </w:r>
            <w:hyperlink r:id="rId19"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sz w:val="16"/>
                <w:szCs w:val="16"/>
                <w:lang w:eastAsia="uk-UA" w:bidi="uk-UA"/>
              </w:rPr>
              <w:t>)</w:t>
            </w:r>
          </w:p>
          <w:p w14:paraId="67992773" w14:textId="33570F15"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798B454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w:t>
            </w:r>
          </w:p>
        </w:tc>
      </w:tr>
      <w:tr w:rsidR="00E95B48" w:rsidRPr="001301D3" w14:paraId="77165B54" w14:textId="77777777" w:rsidTr="001A4F82">
        <w:trPr>
          <w:trHeight w:val="470"/>
        </w:trPr>
        <w:tc>
          <w:tcPr>
            <w:tcW w:w="14874" w:type="dxa"/>
            <w:gridSpan w:val="9"/>
            <w:tcBorders>
              <w:right w:val="single" w:sz="4" w:space="0" w:color="auto"/>
            </w:tcBorders>
            <w:shd w:val="clear" w:color="auto" w:fill="E2EFD9"/>
            <w:vAlign w:val="center"/>
          </w:tcPr>
          <w:p w14:paraId="13CE9427" w14:textId="0C2F3632"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.3.1.6.</w:t>
            </w:r>
          </w:p>
        </w:tc>
      </w:tr>
      <w:tr w:rsidR="00B01FCC" w:rsidRPr="001301D3" w14:paraId="66268E5A" w14:textId="77777777" w:rsidTr="001A4F82">
        <w:trPr>
          <w:trHeight w:val="473"/>
        </w:trPr>
        <w:tc>
          <w:tcPr>
            <w:tcW w:w="5723" w:type="dxa"/>
          </w:tcPr>
          <w:p w14:paraId="7E840207" w14:textId="77777777"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1301D3">
              <w:rPr>
                <w:rFonts w:ascii="Times New Roman" w:eastAsia="Times New Roman" w:hAnsi="Times New Roman" w:cs="Times New Roman"/>
                <w:b/>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 xml:space="preserve">який: </w:t>
            </w:r>
          </w:p>
          <w:p w14:paraId="0652733E" w14:textId="77777777" w:rsidR="00B01FCC"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sz w:val="20"/>
                <w:szCs w:val="20"/>
                <w:lang w:eastAsia="uk-UA" w:bidi="uk-UA"/>
              </w:rPr>
              <w:t>- </w:t>
            </w:r>
            <w:r w:rsidRPr="00996FDD">
              <w:rPr>
                <w:rFonts w:ascii="Times New Roman" w:eastAsia="Times New Roman" w:hAnsi="Times New Roman" w:cs="Times New Roman"/>
                <w:sz w:val="20"/>
                <w:szCs w:val="20"/>
                <w:lang w:eastAsia="uk-UA" w:bidi="uk-UA"/>
              </w:rPr>
              <w:t>визнач</w:t>
            </w:r>
            <w:r>
              <w:rPr>
                <w:rFonts w:ascii="Times New Roman" w:eastAsia="Times New Roman" w:hAnsi="Times New Roman" w:cs="Times New Roman"/>
                <w:sz w:val="20"/>
                <w:szCs w:val="20"/>
                <w:lang w:eastAsia="uk-UA" w:bidi="uk-UA"/>
              </w:rPr>
              <w:t>ив</w:t>
            </w:r>
            <w:r w:rsidRPr="00996FDD">
              <w:rPr>
                <w:rFonts w:ascii="Times New Roman" w:eastAsia="Times New Roman" w:hAnsi="Times New Roman" w:cs="Times New Roman"/>
                <w:sz w:val="20"/>
                <w:szCs w:val="20"/>
                <w:lang w:eastAsia="uk-UA" w:bidi="uk-UA"/>
              </w:rPr>
              <w:t xml:space="preserve"> повноваження НАЗК щодо здійсненн</w:t>
            </w:r>
            <w:r>
              <w:rPr>
                <w:rFonts w:ascii="Times New Roman" w:eastAsia="Times New Roman" w:hAnsi="Times New Roman" w:cs="Times New Roman"/>
                <w:sz w:val="20"/>
                <w:szCs w:val="20"/>
                <w:lang w:eastAsia="uk-UA" w:bidi="uk-UA"/>
              </w:rPr>
              <w:t xml:space="preserve">я моніторингу, предметом якого </w:t>
            </w:r>
            <w:r w:rsidRPr="00996FDD">
              <w:rPr>
                <w:rFonts w:ascii="Times New Roman" w:eastAsia="Times New Roman" w:hAnsi="Times New Roman" w:cs="Times New Roman"/>
                <w:sz w:val="20"/>
                <w:szCs w:val="20"/>
                <w:lang w:eastAsia="uk-UA" w:bidi="uk-UA"/>
              </w:rPr>
              <w:t xml:space="preserve">є </w:t>
            </w:r>
            <w:r>
              <w:rPr>
                <w:rFonts w:ascii="Times New Roman" w:eastAsia="Times New Roman" w:hAnsi="Times New Roman" w:cs="Times New Roman"/>
                <w:sz w:val="20"/>
                <w:szCs w:val="20"/>
                <w:lang w:eastAsia="uk-UA" w:bidi="uk-UA"/>
              </w:rPr>
              <w:t xml:space="preserve">також </w:t>
            </w:r>
            <w:r w:rsidRPr="00996FDD">
              <w:rPr>
                <w:rFonts w:ascii="Times New Roman" w:eastAsia="Times New Roman" w:hAnsi="Times New Roman" w:cs="Times New Roman"/>
                <w:sz w:val="20"/>
                <w:szCs w:val="20"/>
                <w:lang w:eastAsia="uk-UA" w:bidi="uk-UA"/>
              </w:rPr>
              <w:t>дотримання інших вимог та обмежень, передбачених у розділах 4-5 Закону України «Про запобігання корупції», покликаних запобігати виник</w:t>
            </w:r>
            <w:r>
              <w:rPr>
                <w:rFonts w:ascii="Times New Roman" w:eastAsia="Times New Roman" w:hAnsi="Times New Roman" w:cs="Times New Roman"/>
                <w:sz w:val="20"/>
                <w:szCs w:val="20"/>
                <w:lang w:eastAsia="uk-UA" w:bidi="uk-UA"/>
              </w:rPr>
              <w:t>ненню конфлікту інтересів</w:t>
            </w:r>
            <w:r w:rsidRPr="00996FDD">
              <w:rPr>
                <w:rFonts w:ascii="Times New Roman" w:eastAsia="Times New Roman" w:hAnsi="Times New Roman" w:cs="Times New Roman"/>
                <w:sz w:val="20"/>
                <w:szCs w:val="20"/>
                <w:lang w:eastAsia="uk-UA" w:bidi="uk-UA"/>
              </w:rPr>
              <w:t>;</w:t>
            </w:r>
          </w:p>
          <w:p w14:paraId="72283DF8" w14:textId="77777777" w:rsidR="00B01FCC" w:rsidRDefault="00B01FCC" w:rsidP="00B01FCC">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Pr="00996FDD">
              <w:rPr>
                <w:rFonts w:ascii="Times New Roman" w:eastAsia="Times New Roman" w:hAnsi="Times New Roman" w:cs="Times New Roman"/>
                <w:sz w:val="20"/>
                <w:szCs w:val="20"/>
                <w:lang w:eastAsia="uk-UA" w:bidi="uk-UA"/>
              </w:rPr>
              <w:t>усун</w:t>
            </w:r>
            <w:r>
              <w:rPr>
                <w:rFonts w:ascii="Times New Roman" w:eastAsia="Times New Roman" w:hAnsi="Times New Roman" w:cs="Times New Roman"/>
                <w:sz w:val="20"/>
                <w:szCs w:val="20"/>
                <w:lang w:eastAsia="uk-UA" w:bidi="uk-UA"/>
              </w:rPr>
              <w:t>ув</w:t>
            </w:r>
            <w:r w:rsidRPr="00996FDD">
              <w:rPr>
                <w:rFonts w:ascii="Times New Roman" w:eastAsia="Times New Roman" w:hAnsi="Times New Roman" w:cs="Times New Roman"/>
                <w:sz w:val="20"/>
                <w:szCs w:val="20"/>
                <w:lang w:eastAsia="uk-UA" w:bidi="uk-UA"/>
              </w:rPr>
              <w:t xml:space="preserve"> неточності у формулюваннях прав НАЗК у ст. 12 Закону України «Про запобігання корупції» щодо отримання інформації та документів, вжиття заходів реагування у зв’язку із виявле</w:t>
            </w:r>
            <w:r>
              <w:rPr>
                <w:rFonts w:ascii="Times New Roman" w:eastAsia="Times New Roman" w:hAnsi="Times New Roman" w:cs="Times New Roman"/>
                <w:sz w:val="20"/>
                <w:szCs w:val="20"/>
                <w:lang w:eastAsia="uk-UA" w:bidi="uk-UA"/>
              </w:rPr>
              <w:t>нням порушень вимог Закону</w:t>
            </w:r>
            <w:r w:rsidRPr="00996FDD">
              <w:rPr>
                <w:rFonts w:ascii="Times New Roman" w:eastAsia="Times New Roman" w:hAnsi="Times New Roman" w:cs="Times New Roman"/>
                <w:sz w:val="20"/>
                <w:szCs w:val="20"/>
                <w:lang w:eastAsia="uk-UA" w:bidi="uk-UA"/>
              </w:rPr>
              <w:t>;</w:t>
            </w:r>
          </w:p>
          <w:p w14:paraId="676B0763" w14:textId="34FDDCE9" w:rsidR="00B01FCC" w:rsidRPr="001301D3" w:rsidRDefault="00B01FCC" w:rsidP="00B01FCC">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 усунув </w:t>
            </w:r>
            <w:r w:rsidRPr="00996FDD">
              <w:rPr>
                <w:rFonts w:ascii="Times New Roman" w:eastAsia="Times New Roman" w:hAnsi="Times New Roman" w:cs="Times New Roman"/>
                <w:sz w:val="20"/>
                <w:szCs w:val="20"/>
                <w:lang w:eastAsia="uk-UA" w:bidi="uk-UA"/>
              </w:rPr>
              <w:t>неузгодженість положень Закону України «Про запобігання корупції» з нормами інших законів, яка унеможливлює отримання певних видів інфор</w:t>
            </w:r>
            <w:r>
              <w:rPr>
                <w:rFonts w:ascii="Times New Roman" w:eastAsia="Times New Roman" w:hAnsi="Times New Roman" w:cs="Times New Roman"/>
                <w:sz w:val="20"/>
                <w:szCs w:val="20"/>
                <w:lang w:eastAsia="uk-UA" w:bidi="uk-UA"/>
              </w:rPr>
              <w:t>мації з обмеженим доступом</w:t>
            </w:r>
            <w:r w:rsidRPr="00113F85">
              <w:rPr>
                <w:rFonts w:ascii="Times New Roman" w:eastAsia="Times New Roman" w:hAnsi="Times New Roman" w:cs="Times New Roman"/>
                <w:sz w:val="20"/>
                <w:szCs w:val="20"/>
                <w:lang w:eastAsia="uk-UA" w:bidi="uk-UA"/>
              </w:rPr>
              <w:t>:</w:t>
            </w:r>
            <w:r w:rsidRPr="00113F85">
              <w:rPr>
                <w:rFonts w:ascii="Times New Roman" w:eastAsia="Times New Roman" w:hAnsi="Times New Roman" w:cs="Times New Roman"/>
                <w:color w:val="000000"/>
                <w:sz w:val="20"/>
                <w:szCs w:val="20"/>
                <w:lang w:eastAsia="uk-UA" w:bidi="uk-UA"/>
              </w:rPr>
              <w:t xml:space="preserve"> інформації, що містить таємницю досудового розслідування, стосується митної справи, дані, що становлять банківську таємницю (інформація, якою володіє Національний банк України), а також від Державної служби фінансового моніторингу</w:t>
            </w:r>
          </w:p>
        </w:tc>
        <w:tc>
          <w:tcPr>
            <w:tcW w:w="1082" w:type="dxa"/>
          </w:tcPr>
          <w:p w14:paraId="05304B6B" w14:textId="6137AC5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909C800" w14:textId="0E4908B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Листопад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74A961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36C03DC" w14:textId="3C5AEAD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1DCE82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32C3538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0A68F5DC"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77AC9DC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20"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42E0FF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138D719E" w14:textId="77777777" w:rsidTr="001A4F82">
        <w:trPr>
          <w:trHeight w:val="473"/>
        </w:trPr>
        <w:tc>
          <w:tcPr>
            <w:tcW w:w="5723" w:type="dxa"/>
          </w:tcPr>
          <w:p w14:paraId="703011EC" w14:textId="3D35FC2B"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678DD0F4" w14:textId="4FAED66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Грудень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070CA070" w14:textId="71964E5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p>
        </w:tc>
        <w:tc>
          <w:tcPr>
            <w:tcW w:w="949" w:type="dxa"/>
          </w:tcPr>
          <w:p w14:paraId="0A73B03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133D2646" w14:textId="1FE6C40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BF2068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7EF20EC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272D29E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Офіційний сайт НАЗК (</w:t>
            </w:r>
            <w:hyperlink r:id="rId21"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0AAC6AE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A1EE3B" w14:textId="77777777" w:rsidTr="001A4F82">
        <w:trPr>
          <w:trHeight w:val="473"/>
        </w:trPr>
        <w:tc>
          <w:tcPr>
            <w:tcW w:w="5723" w:type="dxa"/>
          </w:tcPr>
          <w:p w14:paraId="344C6422" w14:textId="436F006D"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tcPr>
          <w:p w14:paraId="2D536BF7" w14:textId="63E49D19"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Лютий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1301D3">
              <w:rPr>
                <w:rFonts w:ascii="Times New Roman" w:eastAsia="Times New Roman" w:hAnsi="Times New Roman" w:cs="Times New Roman"/>
                <w:color w:val="000000"/>
                <w:sz w:val="16"/>
                <w:szCs w:val="16"/>
                <w:lang w:eastAsia="uk-UA" w:bidi="uk-UA"/>
              </w:rPr>
              <w:t xml:space="preserve"> р.</w:t>
            </w:r>
          </w:p>
        </w:tc>
        <w:tc>
          <w:tcPr>
            <w:tcW w:w="949" w:type="dxa"/>
          </w:tcPr>
          <w:p w14:paraId="6144A479" w14:textId="2F10A9F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Березень </w:t>
            </w:r>
            <w:r w:rsidRPr="001301D3">
              <w:rPr>
                <w:rFonts w:ascii="Times New Roman" w:eastAsia="Times New Roman" w:hAnsi="Times New Roman" w:cs="Times New Roman"/>
                <w:color w:val="000000"/>
                <w:sz w:val="16"/>
                <w:szCs w:val="16"/>
                <w:lang w:eastAsia="uk-UA" w:bidi="uk-UA"/>
              </w:rPr>
              <w:t>2024</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1669D9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78B83EFB" w14:textId="38F41CA5"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F552BE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1830FF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tcPr>
          <w:p w14:paraId="6C087402"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1B57658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17" w:type="dxa"/>
          </w:tcPr>
          <w:p w14:paraId="02DF3FDF"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6FAD4D5" w14:textId="77777777" w:rsidTr="001A4F82">
        <w:trPr>
          <w:trHeight w:val="473"/>
        </w:trPr>
        <w:tc>
          <w:tcPr>
            <w:tcW w:w="5723" w:type="dxa"/>
          </w:tcPr>
          <w:p w14:paraId="643D2B52" w14:textId="2DD5F900"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lastRenderedPageBreak/>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19B3CA20" w14:textId="2D56163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Березень</w:t>
            </w:r>
            <w:r w:rsidRPr="001301D3">
              <w:rPr>
                <w:rFonts w:ascii="Times New Roman" w:eastAsia="Times New Roman" w:hAnsi="Times New Roman" w:cs="Times New Roman"/>
                <w:sz w:val="16"/>
                <w:szCs w:val="16"/>
                <w:lang w:eastAsia="uk-UA" w:bidi="uk-UA"/>
              </w:rPr>
              <w:t xml:space="preserve"> 2024 р.</w:t>
            </w:r>
          </w:p>
        </w:tc>
        <w:tc>
          <w:tcPr>
            <w:tcW w:w="949" w:type="dxa"/>
          </w:tcPr>
          <w:p w14:paraId="215DDF3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2949975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07402506" w14:textId="65108A3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2D91C0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1E1582B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3A43E96A"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5A5E5FE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(https://www.rada.gov.ua/)</w:t>
            </w:r>
          </w:p>
        </w:tc>
        <w:tc>
          <w:tcPr>
            <w:tcW w:w="917" w:type="dxa"/>
          </w:tcPr>
          <w:p w14:paraId="7192C775"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C2562B6" w14:textId="77777777" w:rsidTr="001A4F82">
        <w:trPr>
          <w:trHeight w:val="230"/>
        </w:trPr>
        <w:tc>
          <w:tcPr>
            <w:tcW w:w="5723" w:type="dxa"/>
          </w:tcPr>
          <w:p w14:paraId="7FC3B6A2" w14:textId="0421CDCD" w:rsidR="00B01FCC" w:rsidRPr="001301D3" w:rsidRDefault="00B01FCC" w:rsidP="00B01FCC">
            <w:pPr>
              <w:ind w:firstLine="284"/>
              <w:jc w:val="both"/>
              <w:rPr>
                <w:rFonts w:ascii="Times New Roman" w:eastAsia="Times New Roman" w:hAnsi="Times New Roman" w:cs="Times New Roman"/>
                <w:color w:val="5B9BD5"/>
                <w:sz w:val="20"/>
                <w:szCs w:val="20"/>
                <w:lang w:eastAsia="uk-UA" w:bidi="uk-UA"/>
              </w:rPr>
            </w:pPr>
            <w:r w:rsidRPr="001301D3">
              <w:rPr>
                <w:rFonts w:ascii="Times New Roman" w:eastAsia="Times New Roman" w:hAnsi="Times New Roman" w:cs="Times New Roman"/>
                <w:b/>
                <w:color w:val="000000"/>
                <w:sz w:val="20"/>
                <w:szCs w:val="20"/>
                <w:lang w:eastAsia="uk-UA" w:bidi="uk-UA"/>
              </w:rPr>
              <w:t xml:space="preserve">5. </w:t>
            </w:r>
            <w:r w:rsidRPr="001301D3">
              <w:rPr>
                <w:rFonts w:ascii="Times New Roman" w:eastAsia="Times New Roman" w:hAnsi="Times New Roman" w:cs="Times New Roman"/>
                <w:color w:val="000000"/>
                <w:sz w:val="20"/>
                <w:szCs w:val="20"/>
                <w:lang w:eastAsia="uk-UA" w:bidi="uk-UA"/>
              </w:rPr>
              <w:t>Створення системи ранжування та аналізу інформації, що міститься в інформаційно-технічній системі Реєстр декларацій, яка вказуватиме на ризики порушення вимог законодавства щодо запобігання та врегулювання конфлікту інтересів суб’єктами декларування.</w:t>
            </w:r>
          </w:p>
        </w:tc>
        <w:tc>
          <w:tcPr>
            <w:tcW w:w="1082" w:type="dxa"/>
          </w:tcPr>
          <w:p w14:paraId="16AD4D1C" w14:textId="7050A544"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 xml:space="preserve"> Лютий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8DD4DB0" w14:textId="5F39189C"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4CFA2D75"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34AEB726" w14:textId="550BE7D1"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DB4F7E2" w14:textId="77777777" w:rsidR="00B01FCC" w:rsidRPr="001301D3" w:rsidRDefault="00B01FCC" w:rsidP="00B01FCC">
            <w:pPr>
              <w:jc w:val="center"/>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2967318"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Систему створено та отримані дані використовуються для виявлення ризиків.</w:t>
            </w:r>
          </w:p>
        </w:tc>
        <w:tc>
          <w:tcPr>
            <w:tcW w:w="1082" w:type="dxa"/>
          </w:tcPr>
          <w:p w14:paraId="30CA18F7"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917" w:type="dxa"/>
          </w:tcPr>
          <w:p w14:paraId="542C8CE0"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Систему не створено.</w:t>
            </w:r>
          </w:p>
        </w:tc>
      </w:tr>
      <w:tr w:rsidR="00B01FCC" w:rsidRPr="001301D3" w14:paraId="511A547A" w14:textId="77777777" w:rsidTr="001A4F82">
        <w:trPr>
          <w:trHeight w:val="230"/>
        </w:trPr>
        <w:tc>
          <w:tcPr>
            <w:tcW w:w="5723" w:type="dxa"/>
          </w:tcPr>
          <w:p w14:paraId="34B978E3" w14:textId="65F5A5E1" w:rsidR="00B01FCC" w:rsidRDefault="00B01FCC" w:rsidP="00B01FCC">
            <w:pPr>
              <w:ind w:firstLine="284"/>
              <w:jc w:val="both"/>
              <w:rPr>
                <w:rFonts w:ascii="Times New Roman" w:eastAsia="Times New Roman" w:hAnsi="Times New Roman" w:cs="Times New Roman"/>
                <w:color w:val="000000"/>
                <w:sz w:val="20"/>
                <w:szCs w:val="20"/>
                <w:lang w:eastAsia="uk-UA" w:bidi="uk-UA"/>
              </w:rPr>
            </w:pPr>
            <w:r w:rsidRPr="00654C83">
              <w:rPr>
                <w:rFonts w:ascii="Times New Roman" w:eastAsia="Times New Roman" w:hAnsi="Times New Roman" w:cs="Times New Roman"/>
                <w:b/>
                <w:color w:val="000000"/>
                <w:sz w:val="20"/>
                <w:szCs w:val="20"/>
                <w:lang w:eastAsia="uk-UA" w:bidi="uk-UA"/>
              </w:rPr>
              <w:t>6.</w:t>
            </w:r>
            <w:r w:rsidRPr="00185095">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Вжиття заходів щодо передачі ІТ-продукту</w:t>
            </w:r>
            <w:r w:rsidRPr="00654C83">
              <w:rPr>
                <w:rFonts w:ascii="Times New Roman" w:eastAsia="Times New Roman" w:hAnsi="Times New Roman" w:cs="Times New Roman"/>
                <w:color w:val="000000"/>
                <w:sz w:val="20"/>
                <w:szCs w:val="20"/>
                <w:lang w:eastAsia="uk-UA" w:bidi="uk-UA"/>
              </w:rPr>
              <w:t xml:space="preserve"> «Приховані інтереси» </w:t>
            </w:r>
            <w:r>
              <w:rPr>
                <w:rFonts w:ascii="Times New Roman" w:eastAsia="Times New Roman" w:hAnsi="Times New Roman" w:cs="Times New Roman"/>
                <w:color w:val="000000"/>
                <w:sz w:val="20"/>
                <w:szCs w:val="20"/>
                <w:lang w:eastAsia="uk-UA" w:bidi="uk-UA"/>
              </w:rPr>
              <w:t>на баланс НАЗК та його налаштування.</w:t>
            </w:r>
          </w:p>
          <w:p w14:paraId="5148CB30" w14:textId="5C74ED26" w:rsidR="00B01FCC" w:rsidRPr="00654C83" w:rsidRDefault="00B01FCC" w:rsidP="00B01FCC">
            <w:pPr>
              <w:ind w:firstLine="284"/>
              <w:jc w:val="both"/>
              <w:rPr>
                <w:rFonts w:ascii="Times New Roman" w:eastAsia="Times New Roman" w:hAnsi="Times New Roman" w:cs="Times New Roman"/>
                <w:b/>
                <w:color w:val="000000"/>
                <w:sz w:val="20"/>
                <w:szCs w:val="20"/>
                <w:lang w:eastAsia="uk-UA" w:bidi="uk-UA"/>
              </w:rPr>
            </w:pPr>
          </w:p>
        </w:tc>
        <w:tc>
          <w:tcPr>
            <w:tcW w:w="1082" w:type="dxa"/>
          </w:tcPr>
          <w:p w14:paraId="73469216" w14:textId="74827D3C"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Лютий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52A1188" w14:textId="55E5E9F7"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Листопад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9EF6F24"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11877EAA" w14:textId="7A264496"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612F748"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70A54F7C" w14:textId="4357BB4C"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Пропозиції розроблено </w:t>
            </w:r>
          </w:p>
        </w:tc>
        <w:tc>
          <w:tcPr>
            <w:tcW w:w="1082" w:type="dxa"/>
          </w:tcPr>
          <w:p w14:paraId="10E72915"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917" w:type="dxa"/>
          </w:tcPr>
          <w:p w14:paraId="0F1FC6CD" w14:textId="4D46CBE3" w:rsidR="00B01FCC" w:rsidRPr="001301D3" w:rsidRDefault="00B01FCC" w:rsidP="00B01FCC">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Не перебуває на балансі НАЗК</w:t>
            </w:r>
          </w:p>
        </w:tc>
      </w:tr>
      <w:tr w:rsidR="00A6547F" w:rsidRPr="001301D3" w14:paraId="35DE4788" w14:textId="77777777" w:rsidTr="001A4F82">
        <w:trPr>
          <w:trHeight w:val="470"/>
        </w:trPr>
        <w:tc>
          <w:tcPr>
            <w:tcW w:w="14874" w:type="dxa"/>
            <w:gridSpan w:val="9"/>
            <w:tcBorders>
              <w:right w:val="single" w:sz="4" w:space="0" w:color="auto"/>
            </w:tcBorders>
            <w:shd w:val="clear" w:color="auto" w:fill="E2EFD9"/>
            <w:vAlign w:val="center"/>
          </w:tcPr>
          <w:p w14:paraId="0126502C" w14:textId="34447C76" w:rsidR="00A6547F" w:rsidRPr="001301D3" w:rsidRDefault="00A6547F" w:rsidP="00A6547F">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.3.1.7.</w:t>
            </w:r>
          </w:p>
        </w:tc>
      </w:tr>
      <w:tr w:rsidR="00B01FCC" w:rsidRPr="001301D3" w14:paraId="2D622B21" w14:textId="77777777" w:rsidTr="001A4F82">
        <w:trPr>
          <w:trHeight w:val="473"/>
        </w:trPr>
        <w:tc>
          <w:tcPr>
            <w:tcW w:w="5723" w:type="dxa"/>
          </w:tcPr>
          <w:p w14:paraId="0F6B098B" w14:textId="40E83258" w:rsidR="00B01FCC" w:rsidRPr="00537EAA" w:rsidRDefault="00B01FCC" w:rsidP="00B01FCC">
            <w:pPr>
              <w:ind w:firstLine="284"/>
              <w:jc w:val="both"/>
              <w:rPr>
                <w:rFonts w:ascii="Times New Roman" w:eastAsia="Times New Roman" w:hAnsi="Times New Roman" w:cs="Times New Roman"/>
                <w:color w:val="000000"/>
                <w:sz w:val="20"/>
                <w:szCs w:val="20"/>
                <w:lang w:eastAsia="uk-UA" w:bidi="uk-UA"/>
              </w:rPr>
            </w:pPr>
            <w:r w:rsidRPr="00537EAA">
              <w:rPr>
                <w:rFonts w:ascii="Times New Roman" w:eastAsia="Times New Roman" w:hAnsi="Times New Roman" w:cs="Times New Roman"/>
                <w:b/>
                <w:color w:val="000000"/>
                <w:sz w:val="20"/>
                <w:szCs w:val="20"/>
                <w:lang w:eastAsia="uk-UA" w:bidi="uk-UA"/>
              </w:rPr>
              <w:t>1</w:t>
            </w:r>
            <w:r w:rsidRPr="00537EAA">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 xml:space="preserve">Підготовка аналітичного звіту щодо </w:t>
            </w:r>
            <w:r w:rsidRPr="00010E5B">
              <w:rPr>
                <w:rFonts w:ascii="Times New Roman" w:eastAsia="Times New Roman" w:hAnsi="Times New Roman" w:cs="Times New Roman"/>
                <w:sz w:val="20"/>
                <w:szCs w:val="20"/>
              </w:rPr>
              <w:t xml:space="preserve">актуального стану проблеми </w:t>
            </w:r>
            <w:r w:rsidRPr="00010E5B">
              <w:rPr>
                <w:rFonts w:ascii="Times New Roman" w:eastAsia="Times New Roman" w:hAnsi="Times New Roman" w:cs="Times New Roman"/>
                <w:color w:val="000000"/>
                <w:sz w:val="20"/>
                <w:szCs w:val="20"/>
                <w:lang w:eastAsia="uk-UA" w:bidi="uk-UA"/>
              </w:rPr>
              <w:t>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w:t>
            </w:r>
            <w:r w:rsidRPr="00010E5B">
              <w:rPr>
                <w:rFonts w:ascii="Times New Roman" w:eastAsia="Times New Roman" w:hAnsi="Times New Roman" w:cs="Times New Roman"/>
                <w:sz w:val="20"/>
                <w:szCs w:val="20"/>
              </w:rPr>
              <w:t xml:space="preserve"> питань запобігання конфлікту інтересів, можливості суміщення служби в органах місцевого самоврядування зі статусом депутата місцевої ради.</w:t>
            </w:r>
          </w:p>
        </w:tc>
        <w:tc>
          <w:tcPr>
            <w:tcW w:w="1082" w:type="dxa"/>
          </w:tcPr>
          <w:p w14:paraId="1859D0DF" w14:textId="337D7596"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Червень 2023 р.</w:t>
            </w:r>
          </w:p>
        </w:tc>
        <w:tc>
          <w:tcPr>
            <w:tcW w:w="949" w:type="dxa"/>
          </w:tcPr>
          <w:p w14:paraId="48AEB767" w14:textId="6F14BF4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Серпень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71BED3B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0CC0F02" w14:textId="09DAA78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F68942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A092AA9" w14:textId="7AA3CC8A"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Здійснено аналітичне дослідження</w:t>
            </w:r>
          </w:p>
        </w:tc>
        <w:tc>
          <w:tcPr>
            <w:tcW w:w="1082" w:type="dxa"/>
          </w:tcPr>
          <w:p w14:paraId="6CB664BE"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2C43B49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Офіційний сайт НАЗК (</w:t>
            </w:r>
            <w:hyperlink r:id="rId22"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C734671" w14:textId="7114C15F"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Аналітичне дослідження не проведено</w:t>
            </w:r>
          </w:p>
        </w:tc>
      </w:tr>
      <w:tr w:rsidR="00B01FCC" w:rsidRPr="001301D3" w14:paraId="2D88B730" w14:textId="77777777" w:rsidTr="00010E5B">
        <w:trPr>
          <w:trHeight w:val="473"/>
        </w:trPr>
        <w:tc>
          <w:tcPr>
            <w:tcW w:w="5723" w:type="dxa"/>
          </w:tcPr>
          <w:p w14:paraId="7DDB07B6" w14:textId="6DE65034" w:rsidR="00B01FCC" w:rsidRPr="00010E5B" w:rsidRDefault="00B01FCC" w:rsidP="00D8328D">
            <w:pPr>
              <w:ind w:firstLine="284"/>
              <w:jc w:val="both"/>
              <w:rPr>
                <w:rFonts w:ascii="Times New Roman" w:eastAsia="Times New Roman" w:hAnsi="Times New Roman" w:cs="Times New Roman"/>
                <w:b/>
                <w:color w:val="000000"/>
                <w:sz w:val="20"/>
                <w:szCs w:val="20"/>
                <w:lang w:eastAsia="uk-UA" w:bidi="uk-UA"/>
              </w:rPr>
            </w:pPr>
            <w:r w:rsidRPr="00F46AE6">
              <w:rPr>
                <w:rFonts w:ascii="Times New Roman" w:eastAsia="Times New Roman" w:hAnsi="Times New Roman" w:cs="Times New Roman"/>
                <w:b/>
                <w:color w:val="000000"/>
                <w:sz w:val="20"/>
                <w:szCs w:val="20"/>
                <w:lang w:eastAsia="uk-UA" w:bidi="uk-UA"/>
              </w:rPr>
              <w:t>2. </w:t>
            </w:r>
            <w:r w:rsidRPr="00F46AE6">
              <w:rPr>
                <w:rFonts w:ascii="Times New Roman" w:eastAsia="Times New Roman" w:hAnsi="Times New Roman" w:cs="Times New Roman"/>
                <w:color w:val="000000"/>
                <w:sz w:val="20"/>
                <w:szCs w:val="20"/>
                <w:lang w:eastAsia="uk-UA" w:bidi="uk-UA"/>
              </w:rPr>
              <w:t xml:space="preserve">Проведення обговорення висновків та рекомендацій, вказаних в аналітичному звіті,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му</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за участі представників органів державної влади, органів місцевого самоврядування, неурядових організацій, міжнародних організацій, проектів міжнародної технічної допомоги, наукової спільноти.</w:t>
            </w:r>
          </w:p>
        </w:tc>
        <w:tc>
          <w:tcPr>
            <w:tcW w:w="1082" w:type="dxa"/>
            <w:shd w:val="clear" w:color="auto" w:fill="auto"/>
          </w:tcPr>
          <w:p w14:paraId="56C3DCB5" w14:textId="1EF66DF2" w:rsidR="00B01FCC" w:rsidRPr="00F46AE6" w:rsidRDefault="00B01FCC" w:rsidP="00185095">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Вересень </w:t>
            </w:r>
            <w:r w:rsidRPr="00F46AE6">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F46AE6">
              <w:rPr>
                <w:rFonts w:ascii="Times New Roman" w:eastAsia="Times New Roman" w:hAnsi="Times New Roman" w:cs="Times New Roman"/>
                <w:color w:val="000000"/>
                <w:sz w:val="16"/>
                <w:szCs w:val="16"/>
                <w:lang w:eastAsia="uk-UA" w:bidi="uk-UA"/>
              </w:rPr>
              <w:t xml:space="preserve">р. </w:t>
            </w:r>
          </w:p>
        </w:tc>
        <w:tc>
          <w:tcPr>
            <w:tcW w:w="949" w:type="dxa"/>
            <w:shd w:val="clear" w:color="auto" w:fill="auto"/>
          </w:tcPr>
          <w:p w14:paraId="32F6F4E1" w14:textId="53F9A1AD" w:rsidR="00B01FCC" w:rsidRPr="00F46AE6" w:rsidRDefault="00B01FCC" w:rsidP="00185095">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r w:rsidRPr="00F46AE6">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F46AE6">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471D2F82" w14:textId="5030FD08" w:rsidR="00B01FCC" w:rsidRPr="00F46AE6" w:rsidRDefault="00B01FCC" w:rsidP="00D8328D">
            <w:pPr>
              <w:jc w:val="center"/>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45B46AEA" w14:textId="6AC26707" w:rsidR="00B01FCC" w:rsidRPr="00F46AE6" w:rsidRDefault="00B01FCC" w:rsidP="00D8328D">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357660EF" w14:textId="6CC969D6" w:rsidR="00B01FCC" w:rsidRPr="00F46AE6" w:rsidRDefault="00B01FCC" w:rsidP="00D8328D">
            <w:pPr>
              <w:jc w:val="center"/>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19718712" w14:textId="1E2E1985" w:rsidR="00B01FCC" w:rsidRPr="00F46AE6" w:rsidRDefault="00B01FCC" w:rsidP="00010E5B">
            <w:pPr>
              <w:spacing w:after="120"/>
              <w:jc w:val="both"/>
              <w:rPr>
                <w:rFonts w:ascii="Times New Roman" w:eastAsia="Times New Roman" w:hAnsi="Times New Roman" w:cs="Times New Roman"/>
                <w:color w:val="000000"/>
                <w:sz w:val="16"/>
                <w:szCs w:val="16"/>
                <w:lang w:eastAsia="uk-UA" w:bidi="uk-UA"/>
              </w:rPr>
            </w:pPr>
            <w:r w:rsidRPr="00F46AE6">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органів місцевого самоврядування, неурядових організацій, міжнародних організацій, </w:t>
            </w:r>
            <w:r w:rsidRPr="00F46AE6">
              <w:rPr>
                <w:rFonts w:ascii="Times New Roman" w:hAnsi="Times New Roman" w:cs="Times New Roman"/>
                <w:sz w:val="16"/>
                <w:szCs w:val="16"/>
              </w:rPr>
              <w:lastRenderedPageBreak/>
              <w:t>проектів міжнародної технічної допомоги, наукової спільноти.</w:t>
            </w:r>
          </w:p>
        </w:tc>
        <w:tc>
          <w:tcPr>
            <w:tcW w:w="1082" w:type="dxa"/>
            <w:shd w:val="clear" w:color="auto" w:fill="auto"/>
          </w:tcPr>
          <w:p w14:paraId="1C54C679" w14:textId="77777777" w:rsidR="00B01FCC" w:rsidRPr="00F46AE6" w:rsidRDefault="00B01FCC" w:rsidP="00D8328D">
            <w:pPr>
              <w:jc w:val="both"/>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lastRenderedPageBreak/>
              <w:t>1. НАЗК;</w:t>
            </w:r>
          </w:p>
          <w:p w14:paraId="335773A3" w14:textId="7B4EC48E" w:rsidR="00B01FCC" w:rsidRPr="00F46AE6" w:rsidRDefault="00B01FCC" w:rsidP="00D8328D">
            <w:pPr>
              <w:jc w:val="both"/>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2. Офіційний сайт НАЗК (</w:t>
            </w:r>
            <w:hyperlink r:id="rId23" w:history="1">
              <w:r w:rsidRPr="00F46AE6">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CFC1399" w14:textId="77777777" w:rsidR="00B01FCC" w:rsidRPr="001301D3" w:rsidRDefault="00B01FCC" w:rsidP="00D8328D">
            <w:pPr>
              <w:jc w:val="center"/>
              <w:rPr>
                <w:rFonts w:ascii="Times New Roman" w:eastAsia="Times New Roman" w:hAnsi="Times New Roman" w:cs="Times New Roman"/>
                <w:color w:val="000000"/>
                <w:sz w:val="16"/>
                <w:szCs w:val="16"/>
                <w:lang w:eastAsia="uk-UA" w:bidi="uk-UA"/>
              </w:rPr>
            </w:pPr>
          </w:p>
        </w:tc>
      </w:tr>
      <w:tr w:rsidR="00B01FCC" w:rsidRPr="001301D3" w14:paraId="0C0FF704" w14:textId="77777777" w:rsidTr="001A4F82">
        <w:trPr>
          <w:trHeight w:val="473"/>
        </w:trPr>
        <w:tc>
          <w:tcPr>
            <w:tcW w:w="5723" w:type="dxa"/>
          </w:tcPr>
          <w:p w14:paraId="01B17356" w14:textId="2147AF53" w:rsidR="00B01FCC" w:rsidRPr="00010E5B" w:rsidRDefault="00B01FCC" w:rsidP="00B01FCC">
            <w:pPr>
              <w:ind w:firstLine="284"/>
              <w:jc w:val="both"/>
              <w:rPr>
                <w:rFonts w:ascii="Times New Roman" w:eastAsia="Times New Roman" w:hAnsi="Times New Roman" w:cs="Times New Roman"/>
                <w:b/>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3. </w:t>
            </w:r>
            <w:r w:rsidRPr="00010E5B">
              <w:rPr>
                <w:rFonts w:ascii="Times New Roman" w:eastAsia="Times New Roman" w:hAnsi="Times New Roman" w:cs="Times New Roman"/>
                <w:color w:val="000000"/>
                <w:sz w:val="20"/>
                <w:szCs w:val="20"/>
                <w:lang w:eastAsia="uk-UA" w:bidi="uk-UA"/>
              </w:rPr>
              <w:t xml:space="preserve">Розроблення проекту закону,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w:t>
            </w:r>
            <w:r w:rsidRPr="00010E5B">
              <w:rPr>
                <w:rFonts w:ascii="Times New Roman" w:eastAsia="Times New Roman" w:hAnsi="Times New Roman" w:cs="Times New Roman"/>
                <w:sz w:val="20"/>
                <w:szCs w:val="20"/>
              </w:rPr>
              <w:t xml:space="preserve">з урахуванням висновків аналітичного звіту,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1.3.1.7.</w:t>
            </w:r>
          </w:p>
        </w:tc>
        <w:tc>
          <w:tcPr>
            <w:tcW w:w="1082" w:type="dxa"/>
          </w:tcPr>
          <w:p w14:paraId="0FA26690" w14:textId="2ABC5585"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Листопад </w:t>
            </w:r>
            <w:r w:rsidRPr="001301D3">
              <w:rPr>
                <w:rFonts w:ascii="Times New Roman" w:eastAsia="Times New Roman" w:hAnsi="Times New Roman" w:cs="Times New Roman"/>
                <w:color w:val="000000"/>
                <w:sz w:val="16"/>
                <w:szCs w:val="16"/>
                <w:lang w:eastAsia="uk-UA" w:bidi="uk-UA"/>
              </w:rPr>
              <w:t>2023 р.</w:t>
            </w:r>
          </w:p>
        </w:tc>
        <w:tc>
          <w:tcPr>
            <w:tcW w:w="949" w:type="dxa"/>
          </w:tcPr>
          <w:p w14:paraId="64455E41" w14:textId="5BBE9E4B"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Pr="001301D3">
              <w:rPr>
                <w:rFonts w:ascii="Times New Roman" w:eastAsia="Times New Roman" w:hAnsi="Times New Roman" w:cs="Times New Roman"/>
                <w:color w:val="000000"/>
                <w:sz w:val="16"/>
                <w:szCs w:val="16"/>
                <w:lang w:eastAsia="uk-UA" w:bidi="uk-UA"/>
              </w:rPr>
              <w:t xml:space="preserve"> р.</w:t>
            </w:r>
          </w:p>
        </w:tc>
        <w:tc>
          <w:tcPr>
            <w:tcW w:w="949" w:type="dxa"/>
          </w:tcPr>
          <w:p w14:paraId="543DE071"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64D8406A" w14:textId="67E8C36A"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572C1BE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5236DD8F" w14:textId="7AC51569"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w:t>
            </w:r>
            <w:r w:rsidRPr="001301D3">
              <w:rPr>
                <w:rFonts w:ascii="Times New Roman" w:eastAsia="Times New Roman" w:hAnsi="Times New Roman" w:cs="Times New Roman"/>
                <w:color w:val="000000"/>
                <w:sz w:val="16"/>
                <w:szCs w:val="16"/>
                <w:lang w:eastAsia="uk-UA" w:bidi="uk-UA"/>
              </w:rPr>
              <w:t>аконопроект розроблено та оприлюднено для проведення громадського обговорення</w:t>
            </w:r>
          </w:p>
        </w:tc>
        <w:tc>
          <w:tcPr>
            <w:tcW w:w="1082" w:type="dxa"/>
          </w:tcPr>
          <w:p w14:paraId="1DDE87B9"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7D0996B3"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2. Офіційний сайт НАЗК (</w:t>
            </w:r>
            <w:hyperlink r:id="rId24"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73E750B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6451A912" w14:textId="77777777" w:rsidTr="001A4F82">
        <w:trPr>
          <w:trHeight w:val="473"/>
        </w:trPr>
        <w:tc>
          <w:tcPr>
            <w:tcW w:w="5723" w:type="dxa"/>
          </w:tcPr>
          <w:p w14:paraId="5B83FE09" w14:textId="003B7FB3" w:rsidR="00B01FCC" w:rsidRPr="00F46AE6"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4</w:t>
            </w:r>
            <w:r w:rsidRPr="00F46AE6">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му</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71B59833" w14:textId="3ACB9B35"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5E9CE32C" w14:textId="300E12AD"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43C3F88F"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50235D2A" w14:textId="52E81CEB"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7B9FE9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5686A4E"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01C2F39A"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Офіційний сайт НАЗК (</w:t>
            </w:r>
            <w:hyperlink r:id="rId25"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2F081671"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r w:rsidR="00B01FCC" w:rsidRPr="001301D3" w14:paraId="39450EEB" w14:textId="77777777" w:rsidTr="001A4F82">
        <w:trPr>
          <w:trHeight w:val="473"/>
        </w:trPr>
        <w:tc>
          <w:tcPr>
            <w:tcW w:w="5723" w:type="dxa"/>
          </w:tcPr>
          <w:p w14:paraId="2BCFF4FA" w14:textId="64EC9A99" w:rsidR="00B01FCC" w:rsidRPr="00F46AE6" w:rsidRDefault="00B01FCC" w:rsidP="00A6547F">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5.</w:t>
            </w:r>
            <w:r w:rsidRPr="00F46AE6">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82" w:type="dxa"/>
          </w:tcPr>
          <w:p w14:paraId="63F5E1B3" w14:textId="26EF4932"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2024 р.</w:t>
            </w:r>
          </w:p>
        </w:tc>
        <w:tc>
          <w:tcPr>
            <w:tcW w:w="949" w:type="dxa"/>
          </w:tcPr>
          <w:p w14:paraId="6AE089C9" w14:textId="44D7CE8B"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4312C43A" w14:textId="77777777" w:rsidR="00B01FCC" w:rsidRPr="001301D3" w:rsidRDefault="00B01FCC" w:rsidP="00A6547F">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41FEC79A" w14:textId="5579AC1E"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63C3350" w14:textId="77777777" w:rsidR="00B01FCC" w:rsidRPr="001301D3" w:rsidRDefault="00B01FCC" w:rsidP="00A6547F">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2E897222" w14:textId="77777777" w:rsidR="00B01FCC" w:rsidRPr="001301D3" w:rsidRDefault="00B01FCC" w:rsidP="00A6547F">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82" w:type="dxa"/>
          </w:tcPr>
          <w:p w14:paraId="69EC55AB" w14:textId="77777777" w:rsidR="00B01FCC" w:rsidRPr="001301D3" w:rsidRDefault="00B01FCC" w:rsidP="00A6547F">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2A9F80BA" w14:textId="77777777" w:rsidR="00B01FCC" w:rsidRPr="001301D3" w:rsidRDefault="00B01FCC" w:rsidP="00A6547F">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2. Офіційний </w:t>
            </w:r>
            <w:proofErr w:type="spellStart"/>
            <w:r w:rsidRPr="001301D3">
              <w:rPr>
                <w:rFonts w:ascii="Times New Roman" w:eastAsia="Times New Roman" w:hAnsi="Times New Roman" w:cs="Times New Roman"/>
                <w:color w:val="000000"/>
                <w:sz w:val="16"/>
                <w:szCs w:val="16"/>
                <w:lang w:eastAsia="uk-UA" w:bidi="uk-UA"/>
              </w:rPr>
              <w:t>вебпортал</w:t>
            </w:r>
            <w:proofErr w:type="spellEnd"/>
            <w:r w:rsidRPr="001301D3">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17" w:type="dxa"/>
          </w:tcPr>
          <w:p w14:paraId="441A1FDC" w14:textId="77777777" w:rsidR="00B01FCC" w:rsidRPr="001301D3" w:rsidRDefault="00B01FCC" w:rsidP="00A6547F">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r w:rsidR="00B01FCC" w:rsidRPr="001301D3" w14:paraId="1486EC0C" w14:textId="77777777" w:rsidTr="001A4F82">
        <w:trPr>
          <w:trHeight w:val="473"/>
        </w:trPr>
        <w:tc>
          <w:tcPr>
            <w:tcW w:w="5723" w:type="dxa"/>
          </w:tcPr>
          <w:p w14:paraId="295A189A" w14:textId="07DCE019" w:rsidR="00B01FCC" w:rsidRPr="00F46AE6"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6</w:t>
            </w:r>
            <w:r w:rsidRPr="00F46AE6">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006E8D83" w14:textId="261B79FF"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Травень</w:t>
            </w:r>
            <w:r w:rsidRPr="001301D3">
              <w:rPr>
                <w:rFonts w:ascii="Times New Roman" w:eastAsia="Times New Roman" w:hAnsi="Times New Roman" w:cs="Times New Roman"/>
                <w:sz w:val="16"/>
                <w:szCs w:val="16"/>
                <w:lang w:eastAsia="uk-UA" w:bidi="uk-UA"/>
              </w:rPr>
              <w:t xml:space="preserve"> 2024 р.</w:t>
            </w:r>
          </w:p>
        </w:tc>
        <w:tc>
          <w:tcPr>
            <w:tcW w:w="949" w:type="dxa"/>
          </w:tcPr>
          <w:p w14:paraId="2C378B98"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69F3181D"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НАЗК</w:t>
            </w:r>
          </w:p>
        </w:tc>
        <w:tc>
          <w:tcPr>
            <w:tcW w:w="1347" w:type="dxa"/>
          </w:tcPr>
          <w:p w14:paraId="2DF10A55" w14:textId="04BDB220"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3262F5B"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AF36CAF"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279D3903" w14:textId="77777777"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 України.</w:t>
            </w:r>
          </w:p>
          <w:p w14:paraId="55A0EDD9"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w:t>
            </w:r>
            <w:proofErr w:type="spellStart"/>
            <w:r w:rsidRPr="001301D3">
              <w:rPr>
                <w:rFonts w:ascii="Times New Roman" w:eastAsia="Times New Roman" w:hAnsi="Times New Roman" w:cs="Times New Roman"/>
                <w:sz w:val="16"/>
                <w:szCs w:val="16"/>
                <w:lang w:eastAsia="uk-UA" w:bidi="uk-UA"/>
              </w:rPr>
              <w:t>вебпортал</w:t>
            </w:r>
            <w:proofErr w:type="spellEnd"/>
            <w:r w:rsidRPr="001301D3">
              <w:rPr>
                <w:rFonts w:ascii="Times New Roman" w:eastAsia="Times New Roman" w:hAnsi="Times New Roman" w:cs="Times New Roman"/>
                <w:sz w:val="16"/>
                <w:szCs w:val="16"/>
                <w:lang w:eastAsia="uk-UA" w:bidi="uk-UA"/>
              </w:rPr>
              <w:t xml:space="preserve"> парламенту України (https://www.rada.gov.ua/)</w:t>
            </w:r>
          </w:p>
        </w:tc>
        <w:tc>
          <w:tcPr>
            <w:tcW w:w="917" w:type="dxa"/>
          </w:tcPr>
          <w:p w14:paraId="19D17BCB"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bl>
    <w:p w14:paraId="52C07209" w14:textId="77777777" w:rsidR="00B830DA" w:rsidRDefault="00B830DA" w:rsidP="00B830DA">
      <w:pPr>
        <w:tabs>
          <w:tab w:val="left" w:pos="4395"/>
        </w:tabs>
        <w:ind w:firstLine="567"/>
        <w:jc w:val="both"/>
        <w:rPr>
          <w:rFonts w:ascii="Times New Roman" w:eastAsia="Calibri" w:hAnsi="Times New Roman" w:cs="Times New Roman"/>
          <w:b/>
          <w:sz w:val="24"/>
          <w:szCs w:val="24"/>
          <w:shd w:val="clear" w:color="auto" w:fill="FFFFFF"/>
        </w:rPr>
      </w:pPr>
    </w:p>
    <w:p w14:paraId="294807BB" w14:textId="77777777" w:rsidR="00B830DA" w:rsidRDefault="00B830DA">
      <w:pP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br w:type="page"/>
      </w:r>
    </w:p>
    <w:p w14:paraId="6D169F7D" w14:textId="3BE3B29D" w:rsidR="00B830DA" w:rsidRPr="00B830DA" w:rsidRDefault="00B830DA" w:rsidP="00B830DA">
      <w:pPr>
        <w:tabs>
          <w:tab w:val="left" w:pos="4395"/>
        </w:tabs>
        <w:ind w:firstLine="567"/>
        <w:jc w:val="both"/>
        <w:rPr>
          <w:rFonts w:ascii="Times New Roman" w:eastAsia="Calibri" w:hAnsi="Times New Roman" w:cs="Times New Roman"/>
          <w:b/>
          <w:sz w:val="24"/>
          <w:szCs w:val="24"/>
          <w:shd w:val="clear" w:color="auto" w:fill="FFFFFF"/>
        </w:rPr>
      </w:pPr>
      <w:r w:rsidRPr="00B830DA">
        <w:rPr>
          <w:rFonts w:ascii="Times New Roman" w:eastAsia="Calibri" w:hAnsi="Times New Roman" w:cs="Times New Roman"/>
          <w:b/>
          <w:sz w:val="24"/>
          <w:szCs w:val="24"/>
          <w:shd w:val="clear" w:color="auto" w:fill="FFFFFF"/>
        </w:rPr>
        <w:lastRenderedPageBreak/>
        <w:t>1.3.2.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17F173C0"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На сьогодні правові норми, що визначають антикорупційні заборони та обмеження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(далі – Закон) несистемних змін до норм, що регламентують такі антикорупційні обмеження.</w:t>
      </w:r>
    </w:p>
    <w:p w14:paraId="24F2519C"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rPr>
        <w:t xml:space="preserve">Так, встановлення заборони на сумісництво (на здійснення певної діяльності), зміст якої є не чітким і може тлумачитися по різному, зумовлює </w:t>
      </w:r>
      <w:proofErr w:type="spellStart"/>
      <w:r w:rsidRPr="00B830DA">
        <w:rPr>
          <w:rFonts w:ascii="Times New Roman" w:eastAsia="Calibri" w:hAnsi="Times New Roman" w:cs="Times New Roman"/>
          <w:sz w:val="24"/>
          <w:szCs w:val="24"/>
        </w:rPr>
        <w:t>дискрецію</w:t>
      </w:r>
      <w:proofErr w:type="spellEnd"/>
      <w:r w:rsidRPr="00B830DA">
        <w:rPr>
          <w:rFonts w:ascii="Times New Roman" w:eastAsia="Calibri" w:hAnsi="Times New Roman" w:cs="Times New Roman"/>
          <w:sz w:val="24"/>
          <w:szCs w:val="24"/>
        </w:rPr>
        <w:t xml:space="preserve">, а відповідно і корупційні ризики під час прийняття рішень щодо віднесення тієї чи іншої діяльності до забороненої чи дозволеної спеціально уповноваженими суб’єктами у сфері протидії корупції, судами, та/або </w:t>
      </w:r>
      <w:r w:rsidRPr="00B830DA">
        <w:rPr>
          <w:rFonts w:ascii="Times New Roman" w:eastAsia="Calibri" w:hAnsi="Times New Roman" w:cs="Times New Roman"/>
          <w:sz w:val="24"/>
          <w:szCs w:val="24"/>
          <w:lang w:bidi="uk-UA"/>
        </w:rPr>
        <w:t>хибне уявлення посадовця про відсутність порушень антикорупційних обмежень, в той час, коли ознаки порушень мають місце, що має наслідком притягнення особи до відповідальності.</w:t>
      </w:r>
    </w:p>
    <w:p w14:paraId="7F31A4BC" w14:textId="77777777" w:rsidR="00B830DA" w:rsidRPr="00B830DA" w:rsidRDefault="00B830DA" w:rsidP="00B830DA">
      <w:pPr>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Існуючий зміст обмеження щодо одержання подарунків дає можливість стверджувати, що подарунки, які перевищують максимально дозволену вартість (одноразово чи сукупно) стають автоматично забороненими, навіть якщо отримані як подарунки в межах особистих (дружніх) стосунків в межах певних свят (подій) та не мотивовані посадою службовця або як дипломатичні подарунки.</w:t>
      </w:r>
    </w:p>
    <w:p w14:paraId="2E89C30C" w14:textId="77777777" w:rsidR="00B830DA" w:rsidRPr="00B830DA" w:rsidRDefault="00B830DA" w:rsidP="00B830DA">
      <w:pPr>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rPr>
        <w:t xml:space="preserve">Оскільки відповідне обмеження має забезпечувати в першу чергу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не забезпечує справедливого балансу між приватним та публічним інтересом службовця. </w:t>
      </w:r>
    </w:p>
    <w:p w14:paraId="760C7BD9"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 xml:space="preserve">Крім того, Законом України «Про запобігання корупції» </w:t>
      </w:r>
      <w:proofErr w:type="spellStart"/>
      <w:r w:rsidRPr="00B830DA">
        <w:rPr>
          <w:rFonts w:ascii="Times New Roman" w:eastAsia="Calibri" w:hAnsi="Times New Roman" w:cs="Times New Roman"/>
          <w:sz w:val="24"/>
          <w:szCs w:val="24"/>
        </w:rPr>
        <w:t>презюмується</w:t>
      </w:r>
      <w:proofErr w:type="spellEnd"/>
      <w:r w:rsidRPr="00B830DA">
        <w:rPr>
          <w:rFonts w:ascii="Times New Roman" w:eastAsia="Calibri" w:hAnsi="Times New Roman" w:cs="Times New Roman"/>
          <w:sz w:val="24"/>
          <w:szCs w:val="24"/>
        </w:rPr>
        <w:t>,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57F82187"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 xml:space="preserve">Зміст відповідного положення спричиняє ситуації, коли навіть через багато років після отримання подарунка рішення, прийняте під час виконання повноважень,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p>
    <w:p w14:paraId="652B0EE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Проблеми у правозастосуванні також породжують існуючі норми Закону України «Про запобігання корупції», які визначають правила поводження з подарунками або неправомірною вигодою, які є недостатньо послідовними та вичерпними, а іноді взагалі відсутні, наприклад, для подарунку, отриманого у нематеріальному вигляді (грошовий переказ на банківський рахунок).</w:t>
      </w:r>
    </w:p>
    <w:p w14:paraId="3FE6E1F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 xml:space="preserve">Також варто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 </w:t>
      </w:r>
    </w:p>
    <w:p w14:paraId="1776E5B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 xml:space="preserve">Це відбувається у зв’язку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відсутністю адміністративної відповідальності за порушення вказаного обмеження. </w:t>
      </w:r>
    </w:p>
    <w:p w14:paraId="47569CE7"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lastRenderedPageBreak/>
        <w:t>Обмеження після припинення діяльності, пов’язаної з виконання функцій держави та місцевого самоврядування, яке не забезпечено заходами відповідальності, позбавляє державу можливості впливу на його дотримання, а отже і дієвості.</w:t>
      </w:r>
    </w:p>
    <w:p w14:paraId="60CE2F7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Більше того, хаотичні зміни до Закону України «Про запобігання корупції», зумовили, зокрема, ситуацію,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598A5E05" w14:textId="60308256" w:rsidR="00B830DA" w:rsidRPr="00C6121B" w:rsidRDefault="00B830DA" w:rsidP="00C6121B">
      <w:pPr>
        <w:tabs>
          <w:tab w:val="left" w:pos="4395"/>
        </w:tabs>
        <w:spacing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Зазначені недосконалості нормативного регулювання механізмів запобігання корупції зумовлюють зниження їх ефективності та дієвості та не</w:t>
      </w:r>
      <w:r w:rsidR="00C6121B">
        <w:rPr>
          <w:rFonts w:ascii="Times New Roman" w:eastAsia="Calibri" w:hAnsi="Times New Roman" w:cs="Times New Roman"/>
          <w:sz w:val="24"/>
          <w:szCs w:val="24"/>
          <w:lang w:bidi="uk-UA"/>
        </w:rPr>
        <w:t xml:space="preserve"> сприяють мінімізації корупції.</w:t>
      </w:r>
    </w:p>
    <w:tbl>
      <w:tblPr>
        <w:tblStyle w:val="a3"/>
        <w:tblW w:w="14170" w:type="dxa"/>
        <w:tblLayout w:type="fixed"/>
        <w:tblLook w:val="04A0" w:firstRow="1" w:lastRow="0" w:firstColumn="1" w:lastColumn="0" w:noHBand="0" w:noVBand="1"/>
      </w:tblPr>
      <w:tblGrid>
        <w:gridCol w:w="2087"/>
        <w:gridCol w:w="7743"/>
        <w:gridCol w:w="1505"/>
        <w:gridCol w:w="1762"/>
        <w:gridCol w:w="1073"/>
      </w:tblGrid>
      <w:tr w:rsidR="00B830DA" w:rsidRPr="00B830DA" w14:paraId="2799E8E3" w14:textId="77777777" w:rsidTr="009C2ACE">
        <w:tc>
          <w:tcPr>
            <w:tcW w:w="2087" w:type="dxa"/>
            <w:shd w:val="clear" w:color="auto" w:fill="E2EFD9"/>
            <w:vAlign w:val="center"/>
          </w:tcPr>
          <w:p w14:paraId="2C45CBA5"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lang w:bidi="uk-UA"/>
              </w:rPr>
            </w:pPr>
            <w:bookmarkStart w:id="2" w:name="_Hlk113201042"/>
            <w:r w:rsidRPr="00B830DA">
              <w:rPr>
                <w:rFonts w:ascii="Times New Roman" w:eastAsia="Calibri" w:hAnsi="Times New Roman" w:cs="Times New Roman"/>
                <w:b/>
                <w:sz w:val="20"/>
                <w:szCs w:val="20"/>
                <w:lang w:bidi="uk-UA"/>
              </w:rPr>
              <w:t>Очікуваний</w:t>
            </w:r>
          </w:p>
          <w:p w14:paraId="0CA24D04" w14:textId="77777777" w:rsidR="00B830DA" w:rsidRPr="00B830DA" w:rsidRDefault="00B830DA" w:rsidP="00B830DA">
            <w:pPr>
              <w:tabs>
                <w:tab w:val="left" w:pos="4395"/>
              </w:tabs>
              <w:ind w:firstLine="34"/>
              <w:jc w:val="center"/>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стратегічний результат</w:t>
            </w:r>
          </w:p>
        </w:tc>
        <w:tc>
          <w:tcPr>
            <w:tcW w:w="7743" w:type="dxa"/>
            <w:shd w:val="clear" w:color="auto" w:fill="E2EFD9"/>
            <w:vAlign w:val="center"/>
          </w:tcPr>
          <w:p w14:paraId="49713E49" w14:textId="77777777" w:rsidR="00B830DA" w:rsidRPr="00B830DA" w:rsidRDefault="00B830DA" w:rsidP="00B830DA">
            <w:pPr>
              <w:tabs>
                <w:tab w:val="left" w:pos="4395"/>
              </w:tabs>
              <w:ind w:firstLine="34"/>
              <w:jc w:val="center"/>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rPr>
              <w:t>Показник (індикатор) досягнення</w:t>
            </w:r>
          </w:p>
        </w:tc>
        <w:tc>
          <w:tcPr>
            <w:tcW w:w="1505" w:type="dxa"/>
            <w:shd w:val="clear" w:color="auto" w:fill="E2EFD9"/>
            <w:vAlign w:val="center"/>
          </w:tcPr>
          <w:p w14:paraId="186F5A54"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Частка</w:t>
            </w:r>
          </w:p>
          <w:p w14:paraId="02E8F9E6"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i/>
                <w:sz w:val="20"/>
                <w:szCs w:val="20"/>
              </w:rPr>
              <w:t>(у %)</w:t>
            </w:r>
          </w:p>
        </w:tc>
        <w:tc>
          <w:tcPr>
            <w:tcW w:w="1762" w:type="dxa"/>
            <w:shd w:val="clear" w:color="auto" w:fill="E2EFD9"/>
            <w:vAlign w:val="center"/>
          </w:tcPr>
          <w:p w14:paraId="3EC79491" w14:textId="77777777" w:rsidR="00B830DA" w:rsidRPr="00B830DA" w:rsidRDefault="00B830DA" w:rsidP="00B830DA">
            <w:pPr>
              <w:tabs>
                <w:tab w:val="left" w:pos="4395"/>
              </w:tabs>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Джерело даних</w:t>
            </w:r>
          </w:p>
        </w:tc>
        <w:tc>
          <w:tcPr>
            <w:tcW w:w="1073" w:type="dxa"/>
            <w:tcBorders>
              <w:top w:val="single" w:sz="4" w:space="0" w:color="auto"/>
              <w:left w:val="single" w:sz="4" w:space="0" w:color="auto"/>
              <w:right w:val="single" w:sz="4" w:space="0" w:color="auto"/>
            </w:tcBorders>
            <w:shd w:val="clear" w:color="auto" w:fill="E2EFD9"/>
            <w:vAlign w:val="center"/>
          </w:tcPr>
          <w:p w14:paraId="099B585F"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Базовий показник</w:t>
            </w:r>
          </w:p>
        </w:tc>
      </w:tr>
      <w:tr w:rsidR="00B830DA" w:rsidRPr="00B830DA" w14:paraId="1FE2E81D" w14:textId="77777777" w:rsidTr="009C2ACE">
        <w:tc>
          <w:tcPr>
            <w:tcW w:w="2087" w:type="dxa"/>
            <w:vMerge w:val="restart"/>
          </w:tcPr>
          <w:p w14:paraId="56882507"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1.3.2.1.</w:t>
            </w:r>
            <w:r w:rsidRPr="00B830DA">
              <w:rPr>
                <w:rFonts w:ascii="Times New Roman" w:eastAsia="Calibri" w:hAnsi="Times New Roman" w:cs="Times New Roman"/>
                <w:sz w:val="20"/>
                <w:szCs w:val="20"/>
                <w:lang w:bidi="uk-UA"/>
              </w:rPr>
              <w:t> Запроваджено законодавче визначення поняття "інша оплачувана діяльність" для цілей Закону</w:t>
            </w:r>
          </w:p>
          <w:p w14:paraId="40017235" w14:textId="77777777" w:rsidR="00B830DA" w:rsidRPr="00B830DA" w:rsidRDefault="00B830DA" w:rsidP="00C141B2">
            <w:pPr>
              <w:tabs>
                <w:tab w:val="left" w:pos="4395"/>
              </w:tabs>
              <w:ind w:firstLine="284"/>
              <w:rPr>
                <w:rFonts w:ascii="Times New Roman" w:eastAsia="Calibri" w:hAnsi="Times New Roman" w:cs="Times New Roman"/>
                <w:sz w:val="20"/>
                <w:szCs w:val="20"/>
              </w:rPr>
            </w:pPr>
          </w:p>
        </w:tc>
        <w:tc>
          <w:tcPr>
            <w:tcW w:w="7743" w:type="dxa"/>
          </w:tcPr>
          <w:p w14:paraId="12872DFA"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Набрав чинності Закон, яким, запроваджено законодавче визначення поняття «інша оплачувана діяльність» для цілей Закону України «Про запобігання корупції».</w:t>
            </w:r>
          </w:p>
        </w:tc>
        <w:tc>
          <w:tcPr>
            <w:tcW w:w="1505" w:type="dxa"/>
          </w:tcPr>
          <w:p w14:paraId="66FB97A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5CF6A91A" w14:textId="77777777"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 України.</w:t>
            </w:r>
          </w:p>
          <w:p w14:paraId="7DC241CD" w14:textId="77777777"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w:t>
            </w:r>
            <w:proofErr w:type="spellStart"/>
            <w:r w:rsidRPr="00B830DA">
              <w:rPr>
                <w:rFonts w:ascii="Times New Roman" w:eastAsia="Calibri" w:hAnsi="Times New Roman" w:cs="Times New Roman"/>
                <w:sz w:val="16"/>
                <w:szCs w:val="16"/>
                <w:lang w:bidi="uk-UA"/>
              </w:rPr>
              <w:t>вебпортал</w:t>
            </w:r>
            <w:proofErr w:type="spellEnd"/>
            <w:r w:rsidRPr="00B830DA">
              <w:rPr>
                <w:rFonts w:ascii="Times New Roman" w:eastAsia="Calibri" w:hAnsi="Times New Roman" w:cs="Times New Roman"/>
                <w:sz w:val="16"/>
                <w:szCs w:val="16"/>
                <w:lang w:bidi="uk-UA"/>
              </w:rPr>
              <w:t xml:space="preserve"> Парламенту України (https://www.zakon.rada.gov.ua/)</w:t>
            </w:r>
          </w:p>
        </w:tc>
        <w:tc>
          <w:tcPr>
            <w:tcW w:w="1073" w:type="dxa"/>
          </w:tcPr>
          <w:p w14:paraId="2063633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13E83F0F" w14:textId="77777777" w:rsidTr="009C2ACE">
        <w:tc>
          <w:tcPr>
            <w:tcW w:w="2087" w:type="dxa"/>
            <w:vMerge/>
          </w:tcPr>
          <w:p w14:paraId="5EEF68EA"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2198C4AF"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7CBE21B9"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(10%);</w:t>
            </w:r>
          </w:p>
          <w:p w14:paraId="2520A03C"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(6%);</w:t>
            </w:r>
          </w:p>
          <w:p w14:paraId="6FAFD22B" w14:textId="77777777" w:rsidR="00B830DA" w:rsidRPr="00B830DA" w:rsidRDefault="00B830DA" w:rsidP="00C141B2">
            <w:pPr>
              <w:tabs>
                <w:tab w:val="left" w:pos="4395"/>
              </w:tabs>
              <w:ind w:firstLine="284"/>
              <w:jc w:val="both"/>
              <w:rPr>
                <w:rFonts w:ascii="Times New Roman" w:eastAsia="Calibri" w:hAnsi="Times New Roman" w:cs="Times New Roman"/>
                <w:b/>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(3%).</w:t>
            </w:r>
          </w:p>
        </w:tc>
        <w:tc>
          <w:tcPr>
            <w:tcW w:w="1505" w:type="dxa"/>
          </w:tcPr>
          <w:p w14:paraId="471EBA8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00E781AD"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4C668424"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6498C5F4" w14:textId="77777777" w:rsidTr="009C2ACE">
        <w:tc>
          <w:tcPr>
            <w:tcW w:w="2087" w:type="dxa"/>
            <w:vMerge w:val="restart"/>
          </w:tcPr>
          <w:p w14:paraId="4FC7E98E"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1.3.2.2.</w:t>
            </w:r>
            <w:r w:rsidRPr="00B830DA">
              <w:rPr>
                <w:rFonts w:ascii="Times New Roman" w:eastAsia="Calibri" w:hAnsi="Times New Roman" w:cs="Times New Roman"/>
                <w:sz w:val="20"/>
                <w:szCs w:val="20"/>
                <w:lang w:bidi="uk-UA"/>
              </w:rPr>
              <w:t xml:space="preserve">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w:t>
            </w:r>
            <w:r w:rsidRPr="00B830DA">
              <w:rPr>
                <w:rFonts w:ascii="Times New Roman" w:eastAsia="Calibri" w:hAnsi="Times New Roman" w:cs="Times New Roman"/>
                <w:sz w:val="20"/>
                <w:szCs w:val="20"/>
                <w:lang w:bidi="uk-UA"/>
              </w:rPr>
              <w:lastRenderedPageBreak/>
              <w:t>забороняється приймати рішення чи вчиняти дії на користь особи, яка надала подарунок)</w:t>
            </w:r>
          </w:p>
        </w:tc>
        <w:tc>
          <w:tcPr>
            <w:tcW w:w="7743" w:type="dxa"/>
          </w:tcPr>
          <w:p w14:paraId="4357D4E3"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lastRenderedPageBreak/>
              <w:t>1.</w:t>
            </w:r>
            <w:r w:rsidRPr="00B830DA">
              <w:rPr>
                <w:rFonts w:ascii="Times New Roman" w:eastAsia="Calibri" w:hAnsi="Times New Roman" w:cs="Times New Roman"/>
                <w:sz w:val="20"/>
                <w:szCs w:val="20"/>
                <w:lang w:bidi="uk-UA"/>
              </w:rPr>
              <w:t> Набрав чинності Закон, яким, зокрема:</w:t>
            </w:r>
          </w:p>
          <w:p w14:paraId="1B8EDC50"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удосконалено зміст обмеження щодо одержання подарунків (40%);</w:t>
            </w:r>
          </w:p>
          <w:p w14:paraId="52A6A65A"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уточнено перелік випадків, на які не поширюється заборона щодо одержання подарунків (30%);</w:t>
            </w:r>
          </w:p>
          <w:p w14:paraId="5E48BADD"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запроваджено правила визначення періоду, протягом якого особі забороняється приймати рішення чи вчиняти дії на користь особи, яка надала подарунок (20%);</w:t>
            </w:r>
          </w:p>
        </w:tc>
        <w:tc>
          <w:tcPr>
            <w:tcW w:w="1505" w:type="dxa"/>
          </w:tcPr>
          <w:p w14:paraId="273586E7"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4B8524DC" w14:textId="77777777"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 України.</w:t>
            </w:r>
          </w:p>
          <w:p w14:paraId="4DE3D6B3"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w:t>
            </w:r>
            <w:proofErr w:type="spellStart"/>
            <w:r w:rsidRPr="00B830DA">
              <w:rPr>
                <w:rFonts w:ascii="Times New Roman" w:eastAsia="Calibri" w:hAnsi="Times New Roman" w:cs="Times New Roman"/>
                <w:sz w:val="16"/>
                <w:szCs w:val="16"/>
                <w:lang w:bidi="uk-UA"/>
              </w:rPr>
              <w:t>вебпортал</w:t>
            </w:r>
            <w:proofErr w:type="spellEnd"/>
            <w:r w:rsidRPr="00B830DA">
              <w:rPr>
                <w:rFonts w:ascii="Times New Roman" w:eastAsia="Calibri" w:hAnsi="Times New Roman" w:cs="Times New Roman"/>
                <w:sz w:val="16"/>
                <w:szCs w:val="16"/>
                <w:lang w:bidi="uk-UA"/>
              </w:rPr>
              <w:t xml:space="preserve"> Парламенту України (https://www.zakon.rada.gov.ua/)</w:t>
            </w:r>
          </w:p>
        </w:tc>
        <w:tc>
          <w:tcPr>
            <w:tcW w:w="1073" w:type="dxa"/>
          </w:tcPr>
          <w:p w14:paraId="38B07582"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76BB38C3" w14:textId="77777777" w:rsidTr="009C2ACE">
        <w:tc>
          <w:tcPr>
            <w:tcW w:w="2087" w:type="dxa"/>
            <w:vMerge/>
          </w:tcPr>
          <w:p w14:paraId="53EF17A7"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166B3EBB"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2B525657"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(10%);</w:t>
            </w:r>
          </w:p>
          <w:p w14:paraId="10C7093F"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(6%);</w:t>
            </w:r>
          </w:p>
          <w:p w14:paraId="3EBA6DDC" w14:textId="77777777" w:rsidR="00B830DA" w:rsidRPr="00B830DA" w:rsidRDefault="00B830DA" w:rsidP="00C141B2">
            <w:pPr>
              <w:tabs>
                <w:tab w:val="left" w:pos="4395"/>
              </w:tabs>
              <w:ind w:firstLine="284"/>
              <w:jc w:val="both"/>
              <w:rPr>
                <w:rFonts w:ascii="Times New Roman" w:eastAsia="Calibri" w:hAnsi="Times New Roman" w:cs="Times New Roman"/>
                <w:b/>
                <w:sz w:val="16"/>
                <w:szCs w:val="16"/>
                <w:lang w:bidi="uk-UA"/>
              </w:rPr>
            </w:pPr>
            <w:r w:rsidRPr="00B830DA">
              <w:rPr>
                <w:rFonts w:ascii="Times New Roman" w:eastAsia="Times New Roman" w:hAnsi="Times New Roman" w:cs="Times New Roman"/>
                <w:color w:val="000000"/>
                <w:sz w:val="16"/>
                <w:szCs w:val="16"/>
                <w:lang w:eastAsia="uk-UA" w:bidi="uk-UA"/>
              </w:rPr>
              <w:lastRenderedPageBreak/>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(3%).</w:t>
            </w:r>
          </w:p>
        </w:tc>
        <w:tc>
          <w:tcPr>
            <w:tcW w:w="1505" w:type="dxa"/>
          </w:tcPr>
          <w:p w14:paraId="11155EB3"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lastRenderedPageBreak/>
              <w:t>10</w:t>
            </w:r>
          </w:p>
        </w:tc>
        <w:tc>
          <w:tcPr>
            <w:tcW w:w="1762" w:type="dxa"/>
          </w:tcPr>
          <w:p w14:paraId="7BDEC154"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2BABBE96"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417C5580" w14:textId="77777777" w:rsidTr="009C2ACE">
        <w:tc>
          <w:tcPr>
            <w:tcW w:w="2087" w:type="dxa"/>
            <w:vMerge w:val="restart"/>
          </w:tcPr>
          <w:p w14:paraId="077D7A7E"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1.3.2.3</w:t>
            </w:r>
            <w:r w:rsidRPr="00B830DA">
              <w:rPr>
                <w:rFonts w:ascii="Times New Roman" w:eastAsia="Calibri" w:hAnsi="Times New Roman" w:cs="Times New Roman"/>
                <w:sz w:val="20"/>
                <w:szCs w:val="20"/>
                <w:lang w:bidi="uk-UA"/>
              </w:rPr>
              <w:t>. Удосконалено регламентацію порядку поводження з неправомірною вигодою або подарунком з урахуванням, зокрема, способів їх отримання у нематеріальному вигляді</w:t>
            </w:r>
          </w:p>
        </w:tc>
        <w:tc>
          <w:tcPr>
            <w:tcW w:w="7743" w:type="dxa"/>
          </w:tcPr>
          <w:p w14:paraId="73D0EBBE"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1. </w:t>
            </w:r>
            <w:r w:rsidRPr="00B830DA">
              <w:rPr>
                <w:rFonts w:ascii="Times New Roman" w:eastAsia="Times New Roman" w:hAnsi="Times New Roman" w:cs="Times New Roman"/>
                <w:color w:val="000000"/>
                <w:sz w:val="20"/>
                <w:szCs w:val="20"/>
                <w:lang w:eastAsia="uk-UA" w:bidi="uk-UA"/>
              </w:rPr>
              <w:t>Набрав чинності Закон, яким:</w:t>
            </w:r>
          </w:p>
          <w:p w14:paraId="30F0CC2A"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удосконалено порядок поводження з неправомірною вигодою або подарунком та визначено вичерпний перелік дій, які мають бути вчинені службовцем та/або відповідним спеціально уповноваженим суб’єктом у сфері протидії корупції (60%);</w:t>
            </w:r>
          </w:p>
          <w:p w14:paraId="20D52FB7"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передбачено особливості поводження з неправомірною вигодою або подарунком, які отримані у нематеріальному вигляді (наприклад, поповнення карткового рахунку) (30%) </w:t>
            </w:r>
          </w:p>
        </w:tc>
        <w:tc>
          <w:tcPr>
            <w:tcW w:w="1505" w:type="dxa"/>
          </w:tcPr>
          <w:p w14:paraId="2D944BC2"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2D2B27DF"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p>
        </w:tc>
        <w:tc>
          <w:tcPr>
            <w:tcW w:w="1073" w:type="dxa"/>
          </w:tcPr>
          <w:p w14:paraId="6BA55A0B"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r w:rsidRPr="00B830DA" w:rsidDel="00C3493F">
              <w:rPr>
                <w:rFonts w:ascii="Times New Roman" w:eastAsia="Calibri" w:hAnsi="Times New Roman" w:cs="Times New Roman"/>
                <w:sz w:val="16"/>
                <w:szCs w:val="16"/>
                <w:lang w:bidi="uk-UA"/>
              </w:rPr>
              <w:t xml:space="preserve"> </w:t>
            </w:r>
          </w:p>
        </w:tc>
      </w:tr>
      <w:tr w:rsidR="00B830DA" w:rsidRPr="00B830DA" w14:paraId="5518D243" w14:textId="77777777" w:rsidTr="009C2ACE">
        <w:tc>
          <w:tcPr>
            <w:tcW w:w="2087" w:type="dxa"/>
            <w:vMerge/>
          </w:tcPr>
          <w:p w14:paraId="59E8F2EE"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58BC6FB9"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5016EF30"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(10%);</w:t>
            </w:r>
          </w:p>
          <w:p w14:paraId="1AE2DC42"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(6%);</w:t>
            </w:r>
          </w:p>
          <w:p w14:paraId="0C287EF6"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b/>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(3%).</w:t>
            </w:r>
          </w:p>
        </w:tc>
        <w:tc>
          <w:tcPr>
            <w:tcW w:w="1505" w:type="dxa"/>
          </w:tcPr>
          <w:p w14:paraId="089B5293"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49BB9583"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p>
        </w:tc>
        <w:tc>
          <w:tcPr>
            <w:tcW w:w="1073" w:type="dxa"/>
          </w:tcPr>
          <w:p w14:paraId="3C63A0B3"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159A2015" w14:textId="77777777" w:rsidTr="009C2ACE">
        <w:tc>
          <w:tcPr>
            <w:tcW w:w="2087" w:type="dxa"/>
            <w:vMerge w:val="restart"/>
          </w:tcPr>
          <w:p w14:paraId="34472903"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1.3.2.4.</w:t>
            </w:r>
            <w:r w:rsidRPr="00B830DA">
              <w:rPr>
                <w:rFonts w:ascii="Times New Roman" w:eastAsia="Calibri" w:hAnsi="Times New Roman" w:cs="Times New Roman"/>
                <w:sz w:val="20"/>
                <w:szCs w:val="20"/>
                <w:lang w:bidi="uk-UA"/>
              </w:rPr>
              <w:t>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tc>
        <w:tc>
          <w:tcPr>
            <w:tcW w:w="7743" w:type="dxa"/>
          </w:tcPr>
          <w:p w14:paraId="28FD154F"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Набрав чинності Закон, яким, зокрема,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505" w:type="dxa"/>
          </w:tcPr>
          <w:p w14:paraId="10273A8A"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4BFD7482" w14:textId="77777777"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 України.</w:t>
            </w:r>
          </w:p>
          <w:p w14:paraId="556B77CA"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w:t>
            </w:r>
            <w:proofErr w:type="spellStart"/>
            <w:r w:rsidRPr="00B830DA">
              <w:rPr>
                <w:rFonts w:ascii="Times New Roman" w:eastAsia="Calibri" w:hAnsi="Times New Roman" w:cs="Times New Roman"/>
                <w:sz w:val="16"/>
                <w:szCs w:val="16"/>
                <w:lang w:bidi="uk-UA"/>
              </w:rPr>
              <w:t>вебпортал</w:t>
            </w:r>
            <w:proofErr w:type="spellEnd"/>
            <w:r w:rsidRPr="00B830DA">
              <w:rPr>
                <w:rFonts w:ascii="Times New Roman" w:eastAsia="Calibri" w:hAnsi="Times New Roman" w:cs="Times New Roman"/>
                <w:sz w:val="16"/>
                <w:szCs w:val="16"/>
                <w:lang w:bidi="uk-UA"/>
              </w:rPr>
              <w:t xml:space="preserve"> Парламенту України (https://www.zakon.rada.gov.ua/)</w:t>
            </w:r>
          </w:p>
        </w:tc>
        <w:tc>
          <w:tcPr>
            <w:tcW w:w="1073" w:type="dxa"/>
          </w:tcPr>
          <w:p w14:paraId="16DF750D"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2BF02252" w14:textId="77777777" w:rsidTr="009C2ACE">
        <w:tc>
          <w:tcPr>
            <w:tcW w:w="2087" w:type="dxa"/>
            <w:vMerge/>
          </w:tcPr>
          <w:p w14:paraId="54CD8D7C"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6CB9AF4D"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2A871456"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(10%);</w:t>
            </w:r>
          </w:p>
          <w:p w14:paraId="1B23E85C"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(6%);</w:t>
            </w:r>
          </w:p>
          <w:p w14:paraId="4B95BEFA"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(3%).</w:t>
            </w:r>
          </w:p>
        </w:tc>
        <w:tc>
          <w:tcPr>
            <w:tcW w:w="1505" w:type="dxa"/>
          </w:tcPr>
          <w:p w14:paraId="4ACC6771"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1EA9461A"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5EF30412"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bookmarkEnd w:id="2"/>
    </w:tbl>
    <w:p w14:paraId="36618054" w14:textId="23C7505A" w:rsid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p>
    <w:p w14:paraId="30624711" w14:textId="77777777" w:rsidR="00B830DA" w:rsidRDefault="00B830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584D681" w14:textId="454D1DC2" w:rsidR="00B830DA" w:rsidRPr="00B830DA" w:rsidRDefault="00B830DA" w:rsidP="00B830DA">
      <w:pPr>
        <w:ind w:firstLine="708"/>
        <w:rPr>
          <w:rFonts w:ascii="Times New Roman" w:eastAsia="Calibri" w:hAnsi="Times New Roman" w:cs="Times New Roman"/>
          <w:b/>
          <w:sz w:val="24"/>
          <w:szCs w:val="24"/>
        </w:rPr>
      </w:pPr>
      <w:r w:rsidRPr="00B830DA">
        <w:rPr>
          <w:rFonts w:ascii="Times New Roman" w:eastAsia="Calibri" w:hAnsi="Times New Roman" w:cs="Times New Roman"/>
          <w:b/>
          <w:sz w:val="24"/>
          <w:szCs w:val="24"/>
        </w:rPr>
        <w:lastRenderedPageBreak/>
        <w:t xml:space="preserve">Заходи: </w:t>
      </w:r>
    </w:p>
    <w:tbl>
      <w:tblPr>
        <w:tblStyle w:val="11"/>
        <w:tblW w:w="5052" w:type="pct"/>
        <w:tblLayout w:type="fixed"/>
        <w:tblLook w:val="04A0" w:firstRow="1" w:lastRow="0" w:firstColumn="1" w:lastColumn="0" w:noHBand="0" w:noVBand="1"/>
      </w:tblPr>
      <w:tblGrid>
        <w:gridCol w:w="5645"/>
        <w:gridCol w:w="1075"/>
        <w:gridCol w:w="947"/>
        <w:gridCol w:w="947"/>
        <w:gridCol w:w="1333"/>
        <w:gridCol w:w="1332"/>
        <w:gridCol w:w="1463"/>
        <w:gridCol w:w="1235"/>
        <w:gridCol w:w="1052"/>
      </w:tblGrid>
      <w:tr w:rsidR="00B830DA" w:rsidRPr="00B830DA" w14:paraId="20E40568" w14:textId="77777777" w:rsidTr="009C2ACE">
        <w:trPr>
          <w:trHeight w:val="479"/>
        </w:trPr>
        <w:tc>
          <w:tcPr>
            <w:tcW w:w="5322" w:type="dxa"/>
            <w:vMerge w:val="restart"/>
            <w:shd w:val="clear" w:color="auto" w:fill="D9E2F3"/>
            <w:vAlign w:val="center"/>
          </w:tcPr>
          <w:p w14:paraId="6425F159"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Найменування та зміст заходу</w:t>
            </w:r>
          </w:p>
        </w:tc>
        <w:tc>
          <w:tcPr>
            <w:tcW w:w="1907" w:type="dxa"/>
            <w:gridSpan w:val="2"/>
            <w:shd w:val="clear" w:color="auto" w:fill="D9E2F3"/>
            <w:vAlign w:val="center"/>
          </w:tcPr>
          <w:p w14:paraId="1EA8BF0C" w14:textId="77777777" w:rsidR="00B830DA" w:rsidRPr="00B830DA" w:rsidRDefault="00B830DA" w:rsidP="00B830DA">
            <w:pPr>
              <w:jc w:val="center"/>
              <w:rPr>
                <w:rFonts w:ascii="Times New Roman" w:eastAsia="Times New Roman" w:hAnsi="Times New Roman" w:cs="Times New Roman"/>
                <w:b/>
                <w:sz w:val="20"/>
                <w:szCs w:val="20"/>
              </w:rPr>
            </w:pPr>
            <w:r w:rsidRPr="00B830DA">
              <w:rPr>
                <w:rFonts w:ascii="Times New Roman" w:eastAsia="Times New Roman" w:hAnsi="Times New Roman" w:cs="Times New Roman"/>
                <w:b/>
                <w:sz w:val="20"/>
                <w:szCs w:val="20"/>
              </w:rPr>
              <w:t>Строки виконання</w:t>
            </w:r>
          </w:p>
        </w:tc>
        <w:tc>
          <w:tcPr>
            <w:tcW w:w="893" w:type="dxa"/>
            <w:vMerge w:val="restart"/>
            <w:shd w:val="clear" w:color="auto" w:fill="D9E2F3"/>
            <w:vAlign w:val="center"/>
          </w:tcPr>
          <w:p w14:paraId="4AB5EF6C"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Виконавці</w:t>
            </w:r>
          </w:p>
        </w:tc>
        <w:tc>
          <w:tcPr>
            <w:tcW w:w="2513" w:type="dxa"/>
            <w:gridSpan w:val="2"/>
            <w:shd w:val="clear" w:color="auto" w:fill="D9E2F3"/>
            <w:vAlign w:val="center"/>
          </w:tcPr>
          <w:p w14:paraId="40AEE7B0" w14:textId="77777777" w:rsidR="00B830DA" w:rsidRPr="00B830DA" w:rsidRDefault="00B830DA" w:rsidP="00B830DA">
            <w:pPr>
              <w:jc w:val="center"/>
              <w:rPr>
                <w:rFonts w:ascii="Times New Roman" w:eastAsia="Times New Roman" w:hAnsi="Times New Roman" w:cs="Times New Roman"/>
                <w:b/>
              </w:rPr>
            </w:pPr>
            <w:r w:rsidRPr="00B830DA">
              <w:rPr>
                <w:rFonts w:ascii="Times New Roman" w:eastAsia="Times New Roman" w:hAnsi="Times New Roman" w:cs="Times New Roman"/>
                <w:b/>
              </w:rPr>
              <w:t>Фінансові ресурси</w:t>
            </w:r>
          </w:p>
        </w:tc>
        <w:tc>
          <w:tcPr>
            <w:tcW w:w="1379" w:type="dxa"/>
            <w:vMerge w:val="restart"/>
            <w:shd w:val="clear" w:color="auto" w:fill="D9E2F3"/>
            <w:vAlign w:val="center"/>
          </w:tcPr>
          <w:p w14:paraId="10FB2288"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Показник (індикатор) виконання</w:t>
            </w:r>
          </w:p>
        </w:tc>
        <w:tc>
          <w:tcPr>
            <w:tcW w:w="1164" w:type="dxa"/>
            <w:vMerge w:val="restart"/>
            <w:shd w:val="clear" w:color="auto" w:fill="D9E2F3"/>
            <w:vAlign w:val="center"/>
          </w:tcPr>
          <w:p w14:paraId="0D687BD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Джерело даних</w:t>
            </w:r>
          </w:p>
        </w:tc>
        <w:tc>
          <w:tcPr>
            <w:tcW w:w="992" w:type="dxa"/>
            <w:vMerge w:val="restart"/>
            <w:shd w:val="clear" w:color="auto" w:fill="D9E2F3"/>
            <w:vAlign w:val="center"/>
          </w:tcPr>
          <w:p w14:paraId="7C63EF66"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16"/>
                <w:szCs w:val="16"/>
              </w:rPr>
              <w:t>Базовий показник</w:t>
            </w:r>
          </w:p>
        </w:tc>
      </w:tr>
      <w:tr w:rsidR="00B830DA" w:rsidRPr="00B830DA" w14:paraId="5CA25C44" w14:textId="77777777" w:rsidTr="009C2ACE">
        <w:trPr>
          <w:trHeight w:val="473"/>
        </w:trPr>
        <w:tc>
          <w:tcPr>
            <w:tcW w:w="5322" w:type="dxa"/>
            <w:vMerge/>
            <w:shd w:val="clear" w:color="auto" w:fill="D9E2F3"/>
            <w:vAlign w:val="center"/>
          </w:tcPr>
          <w:p w14:paraId="66B0293E" w14:textId="77777777" w:rsidR="00B830DA" w:rsidRPr="00B830DA" w:rsidRDefault="00B830DA" w:rsidP="00B830DA">
            <w:pPr>
              <w:jc w:val="center"/>
              <w:rPr>
                <w:rFonts w:ascii="Times New Roman" w:eastAsia="Times New Roman" w:hAnsi="Times New Roman" w:cs="Times New Roman"/>
                <w:b/>
                <w:sz w:val="20"/>
                <w:szCs w:val="20"/>
              </w:rPr>
            </w:pPr>
          </w:p>
        </w:tc>
        <w:tc>
          <w:tcPr>
            <w:tcW w:w="1014" w:type="dxa"/>
            <w:shd w:val="clear" w:color="auto" w:fill="D9E2F3"/>
            <w:vAlign w:val="center"/>
          </w:tcPr>
          <w:p w14:paraId="0F2B0DC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початку</w:t>
            </w:r>
          </w:p>
        </w:tc>
        <w:tc>
          <w:tcPr>
            <w:tcW w:w="893" w:type="dxa"/>
            <w:shd w:val="clear" w:color="auto" w:fill="D9E2F3"/>
            <w:vAlign w:val="center"/>
          </w:tcPr>
          <w:p w14:paraId="01BC9ED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завершення</w:t>
            </w:r>
          </w:p>
        </w:tc>
        <w:tc>
          <w:tcPr>
            <w:tcW w:w="893" w:type="dxa"/>
            <w:vMerge/>
            <w:shd w:val="clear" w:color="auto" w:fill="D9E2F3"/>
            <w:vAlign w:val="center"/>
          </w:tcPr>
          <w:p w14:paraId="3C25F771" w14:textId="77777777" w:rsidR="00B830DA" w:rsidRPr="00B830DA" w:rsidRDefault="00B830DA" w:rsidP="00B830DA">
            <w:pPr>
              <w:jc w:val="center"/>
              <w:rPr>
                <w:rFonts w:ascii="Times New Roman" w:eastAsia="Times New Roman" w:hAnsi="Times New Roman" w:cs="Times New Roman"/>
                <w:b/>
                <w:sz w:val="20"/>
                <w:szCs w:val="20"/>
              </w:rPr>
            </w:pPr>
          </w:p>
        </w:tc>
        <w:tc>
          <w:tcPr>
            <w:tcW w:w="1257" w:type="dxa"/>
            <w:shd w:val="clear" w:color="auto" w:fill="D9E2F3"/>
            <w:vAlign w:val="center"/>
          </w:tcPr>
          <w:p w14:paraId="17928E6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Джерела фінансування</w:t>
            </w:r>
          </w:p>
        </w:tc>
        <w:tc>
          <w:tcPr>
            <w:tcW w:w="1256" w:type="dxa"/>
            <w:shd w:val="clear" w:color="auto" w:fill="D9E2F3"/>
            <w:vAlign w:val="center"/>
          </w:tcPr>
          <w:p w14:paraId="6C6D186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Обсяги фінансування</w:t>
            </w:r>
          </w:p>
        </w:tc>
        <w:tc>
          <w:tcPr>
            <w:tcW w:w="1379" w:type="dxa"/>
            <w:vMerge/>
            <w:shd w:val="clear" w:color="auto" w:fill="D9E2F3"/>
            <w:vAlign w:val="center"/>
          </w:tcPr>
          <w:p w14:paraId="304DCFE1" w14:textId="77777777" w:rsidR="00B830DA" w:rsidRPr="00B830DA" w:rsidRDefault="00B830DA" w:rsidP="00B830DA">
            <w:pPr>
              <w:jc w:val="center"/>
              <w:rPr>
                <w:rFonts w:ascii="Times New Roman" w:eastAsia="Times New Roman" w:hAnsi="Times New Roman" w:cs="Times New Roman"/>
                <w:b/>
                <w:sz w:val="20"/>
                <w:szCs w:val="20"/>
              </w:rPr>
            </w:pPr>
          </w:p>
        </w:tc>
        <w:tc>
          <w:tcPr>
            <w:tcW w:w="1164" w:type="dxa"/>
            <w:vMerge/>
            <w:shd w:val="clear" w:color="auto" w:fill="D9E2F3"/>
            <w:vAlign w:val="center"/>
          </w:tcPr>
          <w:p w14:paraId="342CC7E0" w14:textId="77777777" w:rsidR="00B830DA" w:rsidRPr="00B830DA" w:rsidRDefault="00B830DA" w:rsidP="00B830DA">
            <w:pPr>
              <w:jc w:val="center"/>
              <w:rPr>
                <w:rFonts w:ascii="Times New Roman" w:eastAsia="Times New Roman" w:hAnsi="Times New Roman" w:cs="Times New Roman"/>
                <w:b/>
                <w:sz w:val="20"/>
                <w:szCs w:val="20"/>
              </w:rPr>
            </w:pPr>
          </w:p>
        </w:tc>
        <w:tc>
          <w:tcPr>
            <w:tcW w:w="992" w:type="dxa"/>
            <w:vMerge/>
            <w:shd w:val="clear" w:color="auto" w:fill="D9E2F3"/>
          </w:tcPr>
          <w:p w14:paraId="34FCADC0" w14:textId="77777777" w:rsidR="00B830DA" w:rsidRPr="00B830DA" w:rsidRDefault="00B830DA" w:rsidP="00B830DA">
            <w:pPr>
              <w:jc w:val="center"/>
              <w:rPr>
                <w:rFonts w:ascii="Times New Roman" w:eastAsia="Times New Roman" w:hAnsi="Times New Roman" w:cs="Times New Roman"/>
                <w:b/>
                <w:sz w:val="16"/>
                <w:szCs w:val="16"/>
              </w:rPr>
            </w:pPr>
          </w:p>
        </w:tc>
      </w:tr>
      <w:tr w:rsidR="00B830DA" w:rsidRPr="00B830DA" w14:paraId="1C1D5BC4" w14:textId="77777777" w:rsidTr="00B830DA">
        <w:trPr>
          <w:trHeight w:val="530"/>
        </w:trPr>
        <w:tc>
          <w:tcPr>
            <w:tcW w:w="14170" w:type="dxa"/>
            <w:gridSpan w:val="9"/>
            <w:shd w:val="clear" w:color="auto" w:fill="E2EFD9"/>
            <w:vAlign w:val="center"/>
          </w:tcPr>
          <w:p w14:paraId="5BBA7B69"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1.3.2.1.</w:t>
            </w:r>
          </w:p>
        </w:tc>
      </w:tr>
      <w:tr w:rsidR="00B830DA" w:rsidRPr="00B830DA" w14:paraId="646DA319" w14:textId="77777777" w:rsidTr="009C2ACE">
        <w:trPr>
          <w:trHeight w:val="230"/>
        </w:trPr>
        <w:tc>
          <w:tcPr>
            <w:tcW w:w="5322" w:type="dxa"/>
          </w:tcPr>
          <w:p w14:paraId="2D5621E8"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xml:space="preserve"> Розроблення проекту закону, у якому визначено </w:t>
            </w:r>
            <w:r w:rsidRPr="00B830DA">
              <w:rPr>
                <w:rFonts w:ascii="Times New Roman" w:eastAsia="Calibri" w:hAnsi="Times New Roman" w:cs="Times New Roman"/>
                <w:sz w:val="20"/>
                <w:szCs w:val="20"/>
                <w:lang w:bidi="uk-UA"/>
              </w:rPr>
              <w:t>поняття «інша оплачувана діяльність» для цілей Закону України «Про запобігання корупції»</w:t>
            </w:r>
          </w:p>
        </w:tc>
        <w:tc>
          <w:tcPr>
            <w:tcW w:w="1014" w:type="dxa"/>
          </w:tcPr>
          <w:p w14:paraId="5C5F817E"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Травень 2023р.</w:t>
            </w:r>
          </w:p>
        </w:tc>
        <w:tc>
          <w:tcPr>
            <w:tcW w:w="893" w:type="dxa"/>
          </w:tcPr>
          <w:p w14:paraId="56F7B22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Вересень 2023 р.</w:t>
            </w:r>
          </w:p>
        </w:tc>
        <w:tc>
          <w:tcPr>
            <w:tcW w:w="893" w:type="dxa"/>
          </w:tcPr>
          <w:p w14:paraId="777AC49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BD555D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024BB3F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2D43B27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19217D3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34CE2BA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7BBF140" w14:textId="77777777" w:rsidTr="009C2ACE">
        <w:trPr>
          <w:trHeight w:val="230"/>
        </w:trPr>
        <w:tc>
          <w:tcPr>
            <w:tcW w:w="5322" w:type="dxa"/>
          </w:tcPr>
          <w:p w14:paraId="5D16D278"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1.3.2.1., та забезпечення його доопрацювання (у разі потреби).</w:t>
            </w:r>
          </w:p>
        </w:tc>
        <w:tc>
          <w:tcPr>
            <w:tcW w:w="1014" w:type="dxa"/>
          </w:tcPr>
          <w:p w14:paraId="4F951E0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Жовтень</w:t>
            </w:r>
          </w:p>
          <w:p w14:paraId="26AD197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59B6521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Листопад </w:t>
            </w:r>
          </w:p>
          <w:p w14:paraId="42789CEA"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2828A54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A5A9B8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410E072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52352CF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5D0B2313"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Офіційний 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0F4D68D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CB2BF51" w14:textId="77777777" w:rsidTr="009C2ACE">
        <w:trPr>
          <w:trHeight w:val="230"/>
        </w:trPr>
        <w:tc>
          <w:tcPr>
            <w:tcW w:w="5322" w:type="dxa"/>
          </w:tcPr>
          <w:p w14:paraId="7022E25D"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1.3.2.1., із заінтересованими органами, проведення правової експертизи, подання до Кабінету Міністрів України та супровід в Уряді.</w:t>
            </w:r>
          </w:p>
        </w:tc>
        <w:tc>
          <w:tcPr>
            <w:tcW w:w="1014" w:type="dxa"/>
          </w:tcPr>
          <w:p w14:paraId="0552F9E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w:t>
            </w:r>
          </w:p>
          <w:p w14:paraId="5B48FC6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1A073F0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w:t>
            </w:r>
          </w:p>
          <w:p w14:paraId="2309B9F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2024 р.</w:t>
            </w:r>
          </w:p>
        </w:tc>
        <w:tc>
          <w:tcPr>
            <w:tcW w:w="893" w:type="dxa"/>
          </w:tcPr>
          <w:p w14:paraId="472F60E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7FA5CF5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71030B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632AD7D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64" w:type="dxa"/>
          </w:tcPr>
          <w:p w14:paraId="7DA745B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152B86C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41DE6AC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1B0A6278" w14:textId="77777777" w:rsidTr="009C2ACE">
        <w:trPr>
          <w:trHeight w:val="230"/>
        </w:trPr>
        <w:tc>
          <w:tcPr>
            <w:tcW w:w="5322" w:type="dxa"/>
          </w:tcPr>
          <w:p w14:paraId="40623F4C"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1.3.2.1., у Верховній Раді України (у тому числі, у разі застосування до нього Президентом України права вето).</w:t>
            </w:r>
          </w:p>
        </w:tc>
        <w:tc>
          <w:tcPr>
            <w:tcW w:w="1014" w:type="dxa"/>
          </w:tcPr>
          <w:p w14:paraId="14231B48"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sz w:val="16"/>
                <w:szCs w:val="16"/>
                <w:lang w:eastAsia="uk-UA" w:bidi="uk-UA"/>
              </w:rPr>
              <w:t>Лютий  2024 р.</w:t>
            </w:r>
          </w:p>
        </w:tc>
        <w:tc>
          <w:tcPr>
            <w:tcW w:w="893" w:type="dxa"/>
          </w:tcPr>
          <w:p w14:paraId="21DA5660"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sz w:val="16"/>
                <w:szCs w:val="16"/>
                <w:lang w:eastAsia="uk-UA" w:bidi="uk-UA"/>
              </w:rPr>
              <w:t>До підписання закону Президентом України</w:t>
            </w:r>
          </w:p>
        </w:tc>
        <w:tc>
          <w:tcPr>
            <w:tcW w:w="893" w:type="dxa"/>
          </w:tcPr>
          <w:p w14:paraId="503063B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6B6E17D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799605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0B4F6B1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164" w:type="dxa"/>
          </w:tcPr>
          <w:p w14:paraId="00CB98A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1DAB6BC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54534EF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9F48395" w14:textId="77777777" w:rsidTr="009C2ACE">
        <w:trPr>
          <w:trHeight w:val="470"/>
        </w:trPr>
        <w:tc>
          <w:tcPr>
            <w:tcW w:w="14170" w:type="dxa"/>
            <w:gridSpan w:val="9"/>
            <w:tcBorders>
              <w:right w:val="single" w:sz="4" w:space="0" w:color="auto"/>
            </w:tcBorders>
            <w:shd w:val="clear" w:color="auto" w:fill="E2EFD9"/>
            <w:vAlign w:val="center"/>
          </w:tcPr>
          <w:p w14:paraId="78705EDF"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1.3.2.2.</w:t>
            </w:r>
          </w:p>
        </w:tc>
      </w:tr>
      <w:tr w:rsidR="00B830DA" w:rsidRPr="00B830DA" w14:paraId="77991A90" w14:textId="77777777" w:rsidTr="007F29E1">
        <w:trPr>
          <w:trHeight w:val="1088"/>
        </w:trPr>
        <w:tc>
          <w:tcPr>
            <w:tcW w:w="5322" w:type="dxa"/>
            <w:shd w:val="clear" w:color="auto" w:fill="auto"/>
          </w:tcPr>
          <w:p w14:paraId="04689445" w14:textId="77777777" w:rsidR="00B830DA" w:rsidRPr="00B830DA" w:rsidRDefault="00B830DA" w:rsidP="007F29E1">
            <w:pPr>
              <w:ind w:firstLine="284"/>
              <w:jc w:val="both"/>
              <w:rPr>
                <w:rFonts w:ascii="Calibri" w:eastAsia="Calibri" w:hAnsi="Calibri" w:cs="Times New Roman"/>
              </w:rPr>
            </w:pPr>
            <w:r w:rsidRPr="007F29E1">
              <w:rPr>
                <w:rFonts w:ascii="Times New Roman" w:eastAsia="Times New Roman" w:hAnsi="Times New Roman" w:cs="Times New Roman"/>
                <w:b/>
                <w:sz w:val="20"/>
                <w:szCs w:val="20"/>
              </w:rPr>
              <w:t>1.</w:t>
            </w:r>
            <w:r w:rsidRPr="00B830DA">
              <w:rPr>
                <w:rFonts w:ascii="Times New Roman" w:eastAsia="Times New Roman" w:hAnsi="Times New Roman" w:cs="Times New Roman"/>
                <w:sz w:val="20"/>
                <w:szCs w:val="20"/>
              </w:rPr>
              <w:t> Вивчення та узагальнення позитивного міжнародного досвіду стосовно змісту обмеження щодо одержання подарунків, з урахуванням рекомендацій ОЕСР та ГРЕКО, які були надані України в межах відповідних моніторингових механізмів.</w:t>
            </w:r>
          </w:p>
        </w:tc>
        <w:tc>
          <w:tcPr>
            <w:tcW w:w="1014" w:type="dxa"/>
            <w:shd w:val="clear" w:color="auto" w:fill="auto"/>
          </w:tcPr>
          <w:p w14:paraId="3B0CC3D4"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sz w:val="16"/>
                <w:szCs w:val="16"/>
              </w:rPr>
              <w:t>Вересень  2023 р.</w:t>
            </w:r>
          </w:p>
        </w:tc>
        <w:tc>
          <w:tcPr>
            <w:tcW w:w="893" w:type="dxa"/>
            <w:shd w:val="clear" w:color="auto" w:fill="auto"/>
          </w:tcPr>
          <w:p w14:paraId="73C16EA9"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sz w:val="16"/>
                <w:szCs w:val="16"/>
              </w:rPr>
              <w:t>Листопад 2023 р.</w:t>
            </w:r>
          </w:p>
        </w:tc>
        <w:tc>
          <w:tcPr>
            <w:tcW w:w="893" w:type="dxa"/>
            <w:shd w:val="clear" w:color="auto" w:fill="auto"/>
          </w:tcPr>
          <w:p w14:paraId="5EBF30A5"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sz w:val="16"/>
                <w:szCs w:val="16"/>
              </w:rPr>
              <w:t>НАЗК</w:t>
            </w:r>
          </w:p>
        </w:tc>
        <w:tc>
          <w:tcPr>
            <w:tcW w:w="1257" w:type="dxa"/>
            <w:shd w:val="clear" w:color="auto" w:fill="auto"/>
          </w:tcPr>
          <w:p w14:paraId="67BA0F78"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shd w:val="clear" w:color="auto" w:fill="auto"/>
          </w:tcPr>
          <w:p w14:paraId="67F04D27"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sz w:val="16"/>
                <w:szCs w:val="16"/>
              </w:rPr>
              <w:t>У межах встановлених бюджетних призначень на відповідний рік</w:t>
            </w:r>
          </w:p>
        </w:tc>
        <w:tc>
          <w:tcPr>
            <w:tcW w:w="1379" w:type="dxa"/>
            <w:shd w:val="clear" w:color="auto" w:fill="auto"/>
          </w:tcPr>
          <w:p w14:paraId="08CCB3DA" w14:textId="77777777" w:rsidR="00B830DA" w:rsidRPr="00B830DA" w:rsidRDefault="00B830DA" w:rsidP="00B830DA">
            <w:pPr>
              <w:jc w:val="center"/>
              <w:rPr>
                <w:rFonts w:ascii="Times New Roman" w:eastAsia="Times New Roman" w:hAnsi="Times New Roman" w:cs="Times New Roman"/>
                <w:sz w:val="20"/>
                <w:szCs w:val="20"/>
              </w:rPr>
            </w:pPr>
            <w:r w:rsidRPr="00B830DA">
              <w:rPr>
                <w:rFonts w:ascii="Times New Roman" w:eastAsia="Times New Roman" w:hAnsi="Times New Roman" w:cs="Times New Roman"/>
                <w:color w:val="000000"/>
                <w:sz w:val="16"/>
                <w:szCs w:val="16"/>
                <w:lang w:eastAsia="uk-UA" w:bidi="uk-UA"/>
              </w:rPr>
              <w:t xml:space="preserve">Вивчено  найкращі позитивні практики в частині змісту обмеження щодо одержання подарунків та </w:t>
            </w:r>
            <w:r w:rsidRPr="00B830DA">
              <w:rPr>
                <w:rFonts w:ascii="Times New Roman" w:eastAsia="Times New Roman" w:hAnsi="Times New Roman" w:cs="Times New Roman"/>
                <w:color w:val="000000"/>
                <w:sz w:val="16"/>
                <w:szCs w:val="16"/>
                <w:lang w:eastAsia="uk-UA" w:bidi="uk-UA"/>
              </w:rPr>
              <w:lastRenderedPageBreak/>
              <w:t>підготовлено відповідне узагальнення</w:t>
            </w:r>
          </w:p>
        </w:tc>
        <w:tc>
          <w:tcPr>
            <w:tcW w:w="1164" w:type="dxa"/>
            <w:shd w:val="clear" w:color="auto" w:fill="auto"/>
          </w:tcPr>
          <w:p w14:paraId="301C6E24"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sz w:val="16"/>
                <w:szCs w:val="16"/>
              </w:rPr>
              <w:lastRenderedPageBreak/>
              <w:t>НАЗК</w:t>
            </w:r>
          </w:p>
        </w:tc>
        <w:tc>
          <w:tcPr>
            <w:tcW w:w="992" w:type="dxa"/>
          </w:tcPr>
          <w:p w14:paraId="4DBA1A8B" w14:textId="77777777" w:rsidR="00B830DA" w:rsidRPr="00B830DA" w:rsidRDefault="00B830DA" w:rsidP="00B830DA">
            <w:pPr>
              <w:jc w:val="center"/>
              <w:rPr>
                <w:rFonts w:ascii="Times New Roman" w:eastAsia="Times New Roman" w:hAnsi="Times New Roman" w:cs="Times New Roman"/>
                <w:sz w:val="16"/>
                <w:szCs w:val="16"/>
              </w:rPr>
            </w:pPr>
            <w:r w:rsidRPr="00B830DA">
              <w:rPr>
                <w:rFonts w:ascii="Times New Roman" w:eastAsia="Times New Roman" w:hAnsi="Times New Roman" w:cs="Times New Roman"/>
                <w:color w:val="000000"/>
                <w:sz w:val="16"/>
                <w:szCs w:val="16"/>
                <w:lang w:eastAsia="uk-UA" w:bidi="uk-UA"/>
              </w:rPr>
              <w:t>Міжнародний досвід не вивчено та не узагальнено</w:t>
            </w:r>
          </w:p>
        </w:tc>
      </w:tr>
      <w:tr w:rsidR="00B830DA" w:rsidRPr="00B830DA" w14:paraId="18EC692C" w14:textId="77777777" w:rsidTr="009C2ACE">
        <w:trPr>
          <w:trHeight w:val="230"/>
        </w:trPr>
        <w:tc>
          <w:tcPr>
            <w:tcW w:w="5322" w:type="dxa"/>
          </w:tcPr>
          <w:p w14:paraId="479CFEDF"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Розроблення проекту закону, у якому:</w:t>
            </w:r>
          </w:p>
          <w:p w14:paraId="6CEA94E4"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удосконалено </w:t>
            </w:r>
            <w:proofErr w:type="spellStart"/>
            <w:r w:rsidRPr="00B830DA">
              <w:rPr>
                <w:rFonts w:ascii="Times New Roman" w:eastAsia="Times New Roman" w:hAnsi="Times New Roman" w:cs="Times New Roman"/>
                <w:color w:val="000000"/>
                <w:sz w:val="20"/>
                <w:szCs w:val="20"/>
                <w:lang w:val="ru-RU" w:eastAsia="uk-UA" w:bidi="uk-UA"/>
              </w:rPr>
              <w:t>зміст</w:t>
            </w:r>
            <w:proofErr w:type="spellEnd"/>
            <w:r w:rsidRPr="00B830DA">
              <w:rPr>
                <w:rFonts w:ascii="Times New Roman" w:eastAsia="Times New Roman" w:hAnsi="Times New Roman" w:cs="Times New Roman"/>
                <w:color w:val="000000"/>
                <w:sz w:val="20"/>
                <w:szCs w:val="20"/>
                <w:lang w:eastAsia="uk-UA" w:bidi="uk-UA"/>
              </w:rPr>
              <w:t xml:space="preserve"> обмеження щодо одержання подарунків</w:t>
            </w:r>
            <w:r w:rsidRPr="00B830DA">
              <w:rPr>
                <w:rFonts w:ascii="Times New Roman" w:eastAsia="Times New Roman" w:hAnsi="Times New Roman" w:cs="Times New Roman"/>
                <w:color w:val="000000"/>
                <w:sz w:val="20"/>
                <w:szCs w:val="20"/>
                <w:lang w:val="ru-RU" w:eastAsia="uk-UA" w:bidi="uk-UA"/>
              </w:rPr>
              <w:t xml:space="preserve"> з </w:t>
            </w:r>
            <w:proofErr w:type="spellStart"/>
            <w:r w:rsidRPr="00B830DA">
              <w:rPr>
                <w:rFonts w:ascii="Times New Roman" w:eastAsia="Times New Roman" w:hAnsi="Times New Roman" w:cs="Times New Roman"/>
                <w:color w:val="000000"/>
                <w:sz w:val="20"/>
                <w:szCs w:val="20"/>
                <w:lang w:val="ru-RU" w:eastAsia="uk-UA" w:bidi="uk-UA"/>
              </w:rPr>
              <w:t>урахуванням</w:t>
            </w:r>
            <w:proofErr w:type="spellEnd"/>
            <w:r w:rsidRPr="00B830DA">
              <w:rPr>
                <w:rFonts w:ascii="Times New Roman" w:eastAsia="Times New Roman" w:hAnsi="Times New Roman" w:cs="Times New Roman"/>
                <w:color w:val="000000"/>
                <w:sz w:val="20"/>
                <w:szCs w:val="20"/>
                <w:lang w:val="ru-RU" w:eastAsia="uk-UA" w:bidi="uk-UA"/>
              </w:rPr>
              <w:t xml:space="preserve"> </w:t>
            </w:r>
            <w:proofErr w:type="spellStart"/>
            <w:r w:rsidRPr="00B830DA">
              <w:rPr>
                <w:rFonts w:ascii="Times New Roman" w:eastAsia="Times New Roman" w:hAnsi="Times New Roman" w:cs="Times New Roman"/>
                <w:color w:val="000000"/>
                <w:sz w:val="20"/>
                <w:szCs w:val="20"/>
                <w:lang w:val="ru-RU" w:eastAsia="uk-UA" w:bidi="uk-UA"/>
              </w:rPr>
              <w:t>необхідності</w:t>
            </w:r>
            <w:proofErr w:type="spellEnd"/>
            <w:r w:rsidRPr="00B830DA">
              <w:rPr>
                <w:rFonts w:ascii="Times New Roman" w:eastAsia="Times New Roman" w:hAnsi="Times New Roman" w:cs="Times New Roman"/>
                <w:color w:val="000000"/>
                <w:sz w:val="20"/>
                <w:szCs w:val="20"/>
                <w:lang w:val="ru-RU" w:eastAsia="uk-UA" w:bidi="uk-UA"/>
              </w:rPr>
              <w:t xml:space="preserve"> </w:t>
            </w:r>
            <w:proofErr w:type="spellStart"/>
            <w:r w:rsidRPr="00B830DA">
              <w:rPr>
                <w:rFonts w:ascii="Times New Roman" w:eastAsia="Times New Roman" w:hAnsi="Times New Roman" w:cs="Times New Roman"/>
                <w:color w:val="000000"/>
                <w:sz w:val="20"/>
                <w:szCs w:val="20"/>
                <w:lang w:val="ru-RU" w:eastAsia="uk-UA" w:bidi="uk-UA"/>
              </w:rPr>
              <w:t>забезпечення</w:t>
            </w:r>
            <w:proofErr w:type="spellEnd"/>
            <w:r w:rsidRPr="00B830DA">
              <w:rPr>
                <w:rFonts w:ascii="Times New Roman" w:eastAsia="Times New Roman" w:hAnsi="Times New Roman" w:cs="Times New Roman"/>
                <w:color w:val="000000"/>
                <w:sz w:val="20"/>
                <w:szCs w:val="20"/>
                <w:lang w:val="ru-RU" w:eastAsia="uk-UA" w:bidi="uk-UA"/>
              </w:rPr>
              <w:t xml:space="preserve"> справедлив</w:t>
            </w:r>
            <w:r w:rsidRPr="00B830DA">
              <w:rPr>
                <w:rFonts w:ascii="Times New Roman" w:eastAsia="Times New Roman" w:hAnsi="Times New Roman" w:cs="Times New Roman"/>
                <w:color w:val="000000"/>
                <w:sz w:val="20"/>
                <w:szCs w:val="20"/>
                <w:lang w:eastAsia="uk-UA" w:bidi="uk-UA"/>
              </w:rPr>
              <w:t>ого</w:t>
            </w:r>
            <w:r w:rsidRPr="00B830DA">
              <w:rPr>
                <w:rFonts w:ascii="Times New Roman" w:eastAsia="Times New Roman" w:hAnsi="Times New Roman" w:cs="Times New Roman"/>
                <w:color w:val="000000"/>
                <w:sz w:val="20"/>
                <w:szCs w:val="20"/>
                <w:lang w:val="ru-RU" w:eastAsia="uk-UA" w:bidi="uk-UA"/>
              </w:rPr>
              <w:t xml:space="preserve"> баланс</w:t>
            </w:r>
            <w:r w:rsidRPr="00B830DA">
              <w:rPr>
                <w:rFonts w:ascii="Times New Roman" w:eastAsia="Times New Roman" w:hAnsi="Times New Roman" w:cs="Times New Roman"/>
                <w:color w:val="000000"/>
                <w:sz w:val="20"/>
                <w:szCs w:val="20"/>
                <w:lang w:eastAsia="uk-UA" w:bidi="uk-UA"/>
              </w:rPr>
              <w:t>у</w:t>
            </w:r>
            <w:r w:rsidRPr="00B830DA">
              <w:rPr>
                <w:rFonts w:ascii="Times New Roman" w:eastAsia="Times New Roman" w:hAnsi="Times New Roman" w:cs="Times New Roman"/>
                <w:color w:val="000000"/>
                <w:sz w:val="20"/>
                <w:szCs w:val="20"/>
                <w:lang w:val="ru-RU" w:eastAsia="uk-UA" w:bidi="uk-UA"/>
              </w:rPr>
              <w:t xml:space="preserve"> </w:t>
            </w:r>
            <w:proofErr w:type="spellStart"/>
            <w:r w:rsidRPr="00B830DA">
              <w:rPr>
                <w:rFonts w:ascii="Times New Roman" w:eastAsia="Times New Roman" w:hAnsi="Times New Roman" w:cs="Times New Roman"/>
                <w:color w:val="000000"/>
                <w:sz w:val="20"/>
                <w:szCs w:val="20"/>
                <w:lang w:val="ru-RU" w:eastAsia="uk-UA" w:bidi="uk-UA"/>
              </w:rPr>
              <w:t>між</w:t>
            </w:r>
            <w:proofErr w:type="spellEnd"/>
            <w:r w:rsidRPr="00B830DA">
              <w:rPr>
                <w:rFonts w:ascii="Times New Roman" w:eastAsia="Times New Roman" w:hAnsi="Times New Roman" w:cs="Times New Roman"/>
                <w:color w:val="000000"/>
                <w:sz w:val="20"/>
                <w:szCs w:val="20"/>
                <w:lang w:val="ru-RU" w:eastAsia="uk-UA" w:bidi="uk-UA"/>
              </w:rPr>
              <w:t xml:space="preserve"> </w:t>
            </w:r>
            <w:proofErr w:type="spellStart"/>
            <w:r w:rsidRPr="00B830DA">
              <w:rPr>
                <w:rFonts w:ascii="Times New Roman" w:eastAsia="Times New Roman" w:hAnsi="Times New Roman" w:cs="Times New Roman"/>
                <w:color w:val="000000"/>
                <w:sz w:val="20"/>
                <w:szCs w:val="20"/>
                <w:lang w:val="ru-RU" w:eastAsia="uk-UA" w:bidi="uk-UA"/>
              </w:rPr>
              <w:t>приватним</w:t>
            </w:r>
            <w:proofErr w:type="spellEnd"/>
            <w:r w:rsidRPr="00B830DA">
              <w:rPr>
                <w:rFonts w:ascii="Times New Roman" w:eastAsia="Times New Roman" w:hAnsi="Times New Roman" w:cs="Times New Roman"/>
                <w:color w:val="000000"/>
                <w:sz w:val="20"/>
                <w:szCs w:val="20"/>
                <w:lang w:val="ru-RU" w:eastAsia="uk-UA" w:bidi="uk-UA"/>
              </w:rPr>
              <w:t xml:space="preserve"> і </w:t>
            </w:r>
            <w:proofErr w:type="spellStart"/>
            <w:r w:rsidRPr="00B830DA">
              <w:rPr>
                <w:rFonts w:ascii="Times New Roman" w:eastAsia="Times New Roman" w:hAnsi="Times New Roman" w:cs="Times New Roman"/>
                <w:color w:val="000000"/>
                <w:sz w:val="20"/>
                <w:szCs w:val="20"/>
                <w:lang w:val="ru-RU" w:eastAsia="uk-UA" w:bidi="uk-UA"/>
              </w:rPr>
              <w:t>публічним</w:t>
            </w:r>
            <w:proofErr w:type="spellEnd"/>
            <w:r w:rsidRPr="00B830DA">
              <w:rPr>
                <w:rFonts w:ascii="Times New Roman" w:eastAsia="Times New Roman" w:hAnsi="Times New Roman" w:cs="Times New Roman"/>
                <w:color w:val="000000"/>
                <w:sz w:val="20"/>
                <w:szCs w:val="20"/>
                <w:lang w:val="ru-RU" w:eastAsia="uk-UA" w:bidi="uk-UA"/>
              </w:rPr>
              <w:t xml:space="preserve"> </w:t>
            </w:r>
            <w:proofErr w:type="spellStart"/>
            <w:r w:rsidRPr="00B830DA">
              <w:rPr>
                <w:rFonts w:ascii="Times New Roman" w:eastAsia="Times New Roman" w:hAnsi="Times New Roman" w:cs="Times New Roman"/>
                <w:color w:val="000000"/>
                <w:sz w:val="20"/>
                <w:szCs w:val="20"/>
                <w:lang w:val="ru-RU" w:eastAsia="uk-UA" w:bidi="uk-UA"/>
              </w:rPr>
              <w:t>інтересом</w:t>
            </w:r>
            <w:proofErr w:type="spellEnd"/>
            <w:r w:rsidRPr="00B830DA">
              <w:rPr>
                <w:rFonts w:ascii="Times New Roman" w:eastAsia="Times New Roman" w:hAnsi="Times New Roman" w:cs="Times New Roman"/>
                <w:color w:val="000000"/>
                <w:sz w:val="20"/>
                <w:szCs w:val="20"/>
                <w:lang w:eastAsia="uk-UA" w:bidi="uk-UA"/>
              </w:rPr>
              <w:t>;</w:t>
            </w:r>
          </w:p>
          <w:p w14:paraId="7E5ECD89"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визначено конкретний перелік випадків, на які не поширюється заборона щодо одержання подарунків;</w:t>
            </w:r>
          </w:p>
          <w:p w14:paraId="15FFF164"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tc>
        <w:tc>
          <w:tcPr>
            <w:tcW w:w="1014" w:type="dxa"/>
          </w:tcPr>
          <w:p w14:paraId="16DC3D1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2023 р.</w:t>
            </w:r>
          </w:p>
        </w:tc>
        <w:tc>
          <w:tcPr>
            <w:tcW w:w="893" w:type="dxa"/>
          </w:tcPr>
          <w:p w14:paraId="1A20FBF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Квітень 2024 р.</w:t>
            </w:r>
          </w:p>
        </w:tc>
        <w:tc>
          <w:tcPr>
            <w:tcW w:w="893" w:type="dxa"/>
          </w:tcPr>
          <w:p w14:paraId="7E70082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2AF69C7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51DC325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0784935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041558F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42036FF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61B35257" w14:textId="77777777" w:rsidTr="009C2ACE">
        <w:trPr>
          <w:trHeight w:val="230"/>
        </w:trPr>
        <w:tc>
          <w:tcPr>
            <w:tcW w:w="5322" w:type="dxa"/>
          </w:tcPr>
          <w:p w14:paraId="408B872A"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1.3.2.2., та забезпечення його доопрацювання (у разі потреби).</w:t>
            </w:r>
          </w:p>
        </w:tc>
        <w:tc>
          <w:tcPr>
            <w:tcW w:w="1014" w:type="dxa"/>
          </w:tcPr>
          <w:p w14:paraId="43CD295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Травень 2024 р.</w:t>
            </w:r>
          </w:p>
        </w:tc>
        <w:tc>
          <w:tcPr>
            <w:tcW w:w="893" w:type="dxa"/>
          </w:tcPr>
          <w:p w14:paraId="30B84C6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893" w:type="dxa"/>
          </w:tcPr>
          <w:p w14:paraId="29578B5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1E8981D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C46EAE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67AE529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25A27CC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Офіційний 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659A0B6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FC9C7C5" w14:textId="77777777" w:rsidTr="009C2ACE">
        <w:trPr>
          <w:trHeight w:val="230"/>
        </w:trPr>
        <w:tc>
          <w:tcPr>
            <w:tcW w:w="5322" w:type="dxa"/>
          </w:tcPr>
          <w:p w14:paraId="376AC619"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1.3.2.2., із заінтересованими органами, проведення правової експертизи, подання до Кабінету Міністрів України та супровід в Уряді.</w:t>
            </w:r>
          </w:p>
        </w:tc>
        <w:tc>
          <w:tcPr>
            <w:tcW w:w="1014" w:type="dxa"/>
          </w:tcPr>
          <w:p w14:paraId="163E758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Липень 2024 р.</w:t>
            </w:r>
          </w:p>
        </w:tc>
        <w:tc>
          <w:tcPr>
            <w:tcW w:w="893" w:type="dxa"/>
          </w:tcPr>
          <w:p w14:paraId="752FFB6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Серпень  2024 р.</w:t>
            </w:r>
          </w:p>
        </w:tc>
        <w:tc>
          <w:tcPr>
            <w:tcW w:w="893" w:type="dxa"/>
          </w:tcPr>
          <w:p w14:paraId="4CCCC18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66298F3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63691BA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5255F51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64" w:type="dxa"/>
          </w:tcPr>
          <w:p w14:paraId="46A821A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B2033F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5D76C0A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58C6E42F" w14:textId="77777777" w:rsidTr="009C2ACE">
        <w:trPr>
          <w:trHeight w:val="230"/>
        </w:trPr>
        <w:tc>
          <w:tcPr>
            <w:tcW w:w="5322" w:type="dxa"/>
          </w:tcPr>
          <w:p w14:paraId="6B01A921"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5.</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1.3.2.2., у Верховній Раді України (у тому числі, у разі застосування до нього Президентом України права вето).</w:t>
            </w:r>
          </w:p>
        </w:tc>
        <w:tc>
          <w:tcPr>
            <w:tcW w:w="1014" w:type="dxa"/>
          </w:tcPr>
          <w:p w14:paraId="39C24BA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Серпень 2024 р.</w:t>
            </w:r>
          </w:p>
        </w:tc>
        <w:tc>
          <w:tcPr>
            <w:tcW w:w="893" w:type="dxa"/>
          </w:tcPr>
          <w:p w14:paraId="6DDD187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893" w:type="dxa"/>
          </w:tcPr>
          <w:p w14:paraId="56005C0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66D8623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63CF61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BB9412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164" w:type="dxa"/>
          </w:tcPr>
          <w:p w14:paraId="4D05072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54F02D6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1D0B624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F92EE95" w14:textId="77777777" w:rsidTr="009C2ACE">
        <w:trPr>
          <w:trHeight w:val="470"/>
        </w:trPr>
        <w:tc>
          <w:tcPr>
            <w:tcW w:w="14170" w:type="dxa"/>
            <w:gridSpan w:val="9"/>
            <w:tcBorders>
              <w:right w:val="single" w:sz="4" w:space="0" w:color="auto"/>
            </w:tcBorders>
            <w:shd w:val="clear" w:color="auto" w:fill="E2EFD9"/>
            <w:vAlign w:val="center"/>
          </w:tcPr>
          <w:p w14:paraId="612CD276"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1.3.2.3.</w:t>
            </w:r>
          </w:p>
        </w:tc>
      </w:tr>
      <w:tr w:rsidR="00B830DA" w:rsidRPr="00B830DA" w14:paraId="13626048" w14:textId="77777777" w:rsidTr="009C2ACE">
        <w:trPr>
          <w:trHeight w:val="473"/>
        </w:trPr>
        <w:tc>
          <w:tcPr>
            <w:tcW w:w="5322" w:type="dxa"/>
          </w:tcPr>
          <w:p w14:paraId="12D78B52" w14:textId="78A587D9" w:rsidR="00B830DA" w:rsidRPr="00B830DA" w:rsidRDefault="007F29E1"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Розроблення проекту закону, нормами якого вдосконалено:</w:t>
            </w:r>
          </w:p>
          <w:p w14:paraId="72087D50"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правила поводження з подарунком чи неправомірною вигодою, у тому числі отриманими у нематеріальному вигляді;</w:t>
            </w:r>
          </w:p>
          <w:p w14:paraId="4ABC4C90" w14:textId="77777777" w:rsidR="00B830DA" w:rsidRPr="00B830DA" w:rsidRDefault="00B830DA" w:rsidP="00B830DA">
            <w:pPr>
              <w:ind w:firstLine="284"/>
              <w:jc w:val="both"/>
              <w:rPr>
                <w:rFonts w:ascii="Times New Roman" w:eastAsia="Times New Roman" w:hAnsi="Times New Roman" w:cs="Times New Roman"/>
                <w:color w:val="000000"/>
                <w:sz w:val="20"/>
                <w:szCs w:val="20"/>
                <w:highlight w:val="cyan"/>
                <w:lang w:eastAsia="uk-UA" w:bidi="uk-UA"/>
              </w:rPr>
            </w:pPr>
            <w:r w:rsidRPr="00B830DA">
              <w:rPr>
                <w:rFonts w:ascii="Times New Roman" w:eastAsia="Times New Roman" w:hAnsi="Times New Roman" w:cs="Times New Roman"/>
                <w:color w:val="000000"/>
                <w:sz w:val="20"/>
                <w:szCs w:val="20"/>
                <w:lang w:eastAsia="uk-UA" w:bidi="uk-UA"/>
              </w:rPr>
              <w:t>правила щодо подальших дій з виявленим подарунком чи неправомірною вигодою.</w:t>
            </w:r>
          </w:p>
        </w:tc>
        <w:tc>
          <w:tcPr>
            <w:tcW w:w="1014" w:type="dxa"/>
          </w:tcPr>
          <w:p w14:paraId="34D21CB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Серпень 2023 р.</w:t>
            </w:r>
          </w:p>
        </w:tc>
        <w:tc>
          <w:tcPr>
            <w:tcW w:w="893" w:type="dxa"/>
          </w:tcPr>
          <w:p w14:paraId="7BA52BC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Листопад 2023 р.</w:t>
            </w:r>
          </w:p>
        </w:tc>
        <w:tc>
          <w:tcPr>
            <w:tcW w:w="893" w:type="dxa"/>
          </w:tcPr>
          <w:p w14:paraId="0A8CE56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НАБУ, Національна поліція, ДБР</w:t>
            </w:r>
          </w:p>
          <w:p w14:paraId="5A4898B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Офіс Генерального </w:t>
            </w:r>
            <w:r w:rsidRPr="00B830DA">
              <w:rPr>
                <w:rFonts w:ascii="Times New Roman" w:eastAsia="Times New Roman" w:hAnsi="Times New Roman" w:cs="Times New Roman"/>
                <w:color w:val="000000"/>
                <w:sz w:val="16"/>
                <w:szCs w:val="16"/>
                <w:lang w:eastAsia="uk-UA" w:bidi="uk-UA"/>
              </w:rPr>
              <w:lastRenderedPageBreak/>
              <w:t xml:space="preserve">прокурора (за згодою) </w:t>
            </w:r>
          </w:p>
        </w:tc>
        <w:tc>
          <w:tcPr>
            <w:tcW w:w="1257" w:type="dxa"/>
          </w:tcPr>
          <w:p w14:paraId="2E17CCE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Державний бюджет</w:t>
            </w:r>
          </w:p>
        </w:tc>
        <w:tc>
          <w:tcPr>
            <w:tcW w:w="1256" w:type="dxa"/>
          </w:tcPr>
          <w:p w14:paraId="621D39C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163F2C9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109D67E8"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НАЗК;</w:t>
            </w:r>
          </w:p>
          <w:p w14:paraId="01A7EFB9"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2. Офіційний сайт НАЗК (</w:t>
            </w:r>
            <w:hyperlink r:id="rId26" w:history="1">
              <w:r w:rsidRPr="00B830DA">
                <w:rPr>
                  <w:rFonts w:ascii="Times New Roman" w:eastAsia="Times New Roman" w:hAnsi="Times New Roman" w:cs="Times New Roman"/>
                  <w:color w:val="0563C1"/>
                  <w:sz w:val="16"/>
                  <w:szCs w:val="16"/>
                  <w:u w:val="single"/>
                  <w:lang w:eastAsia="uk-UA" w:bidi="uk-UA"/>
                </w:rPr>
                <w:t>https://nazk.gov.ua/uk/</w:t>
              </w:r>
            </w:hyperlink>
          </w:p>
        </w:tc>
        <w:tc>
          <w:tcPr>
            <w:tcW w:w="992" w:type="dxa"/>
          </w:tcPr>
          <w:p w14:paraId="22A447C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77E1A76B" w14:textId="77777777" w:rsidTr="009C2ACE">
        <w:trPr>
          <w:trHeight w:val="473"/>
        </w:trPr>
        <w:tc>
          <w:tcPr>
            <w:tcW w:w="5322" w:type="dxa"/>
          </w:tcPr>
          <w:p w14:paraId="401477F8"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1.3.2.3., та забезпечення його доопрацювання (у разі потреби).</w:t>
            </w:r>
          </w:p>
        </w:tc>
        <w:tc>
          <w:tcPr>
            <w:tcW w:w="1014" w:type="dxa"/>
          </w:tcPr>
          <w:p w14:paraId="6C4B441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2023 р.</w:t>
            </w:r>
          </w:p>
        </w:tc>
        <w:tc>
          <w:tcPr>
            <w:tcW w:w="893" w:type="dxa"/>
          </w:tcPr>
          <w:p w14:paraId="1E7F0F9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 2024 р.</w:t>
            </w:r>
          </w:p>
        </w:tc>
        <w:tc>
          <w:tcPr>
            <w:tcW w:w="893" w:type="dxa"/>
          </w:tcPr>
          <w:p w14:paraId="0B864F1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A956F3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1D8517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9" w:type="dxa"/>
          </w:tcPr>
          <w:p w14:paraId="32BB37A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64" w:type="dxa"/>
          </w:tcPr>
          <w:p w14:paraId="5353A6B6"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Офіційний сайт НАЗК (</w:t>
            </w:r>
            <w:hyperlink r:id="rId27" w:history="1">
              <w:r w:rsidRPr="00B830DA">
                <w:rPr>
                  <w:rFonts w:ascii="Times New Roman" w:eastAsia="Times New Roman" w:hAnsi="Times New Roman" w:cs="Times New Roman"/>
                  <w:color w:val="0563C1"/>
                  <w:sz w:val="16"/>
                  <w:szCs w:val="16"/>
                  <w:u w:val="single"/>
                  <w:lang w:eastAsia="uk-UA" w:bidi="uk-UA"/>
                </w:rPr>
                <w:t>https://nazk.gov.ua/uk/</w:t>
              </w:r>
            </w:hyperlink>
            <w:r w:rsidRPr="00B830DA">
              <w:rPr>
                <w:rFonts w:ascii="Times New Roman" w:eastAsia="Times New Roman" w:hAnsi="Times New Roman" w:cs="Times New Roman"/>
                <w:sz w:val="16"/>
                <w:szCs w:val="16"/>
                <w:lang w:val="ru-RU" w:eastAsia="uk-UA" w:bidi="uk-UA"/>
              </w:rPr>
              <w:t>)</w:t>
            </w:r>
          </w:p>
        </w:tc>
        <w:tc>
          <w:tcPr>
            <w:tcW w:w="992" w:type="dxa"/>
          </w:tcPr>
          <w:p w14:paraId="4B2F7D2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C2EB373" w14:textId="77777777" w:rsidTr="009C2ACE">
        <w:trPr>
          <w:trHeight w:val="473"/>
        </w:trPr>
        <w:tc>
          <w:tcPr>
            <w:tcW w:w="5322" w:type="dxa"/>
          </w:tcPr>
          <w:p w14:paraId="26E0BB0B"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1.3.2.3., із заінтересованими органами, проведення правової експертизи, подання до Кабінету Міністрів України та супровід в Уряді.</w:t>
            </w:r>
          </w:p>
        </w:tc>
        <w:tc>
          <w:tcPr>
            <w:tcW w:w="1014" w:type="dxa"/>
          </w:tcPr>
          <w:p w14:paraId="1674628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Лютий 2024 р.</w:t>
            </w:r>
          </w:p>
        </w:tc>
        <w:tc>
          <w:tcPr>
            <w:tcW w:w="893" w:type="dxa"/>
          </w:tcPr>
          <w:p w14:paraId="09F56EA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Березень 2024 р.</w:t>
            </w:r>
          </w:p>
        </w:tc>
        <w:tc>
          <w:tcPr>
            <w:tcW w:w="893" w:type="dxa"/>
          </w:tcPr>
          <w:p w14:paraId="27A1BAD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0289348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64B0ECE4" w14:textId="77777777" w:rsidR="00B830DA" w:rsidRPr="00B830DA" w:rsidRDefault="00B830DA" w:rsidP="00B830DA">
            <w:pPr>
              <w:jc w:val="center"/>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727CDC77" w14:textId="77777777" w:rsidR="00B830DA" w:rsidRPr="00B830DA" w:rsidRDefault="00B830DA" w:rsidP="00B830DA">
            <w:pPr>
              <w:jc w:val="center"/>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64" w:type="dxa"/>
          </w:tcPr>
          <w:p w14:paraId="3B22B8D1"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E18FFDE" w14:textId="77777777" w:rsidR="00B830DA" w:rsidRPr="00B830DA" w:rsidRDefault="00B830DA" w:rsidP="00B830DA">
            <w:pPr>
              <w:jc w:val="both"/>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601CCE9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19CBB3D" w14:textId="77777777" w:rsidTr="009C2ACE">
        <w:trPr>
          <w:trHeight w:val="473"/>
        </w:trPr>
        <w:tc>
          <w:tcPr>
            <w:tcW w:w="5322" w:type="dxa"/>
          </w:tcPr>
          <w:p w14:paraId="36A723E3"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1.3.2.3., у Верховній Раді України (в тому числі, у разі застосування до нього Президентом України права вето).</w:t>
            </w:r>
          </w:p>
        </w:tc>
        <w:tc>
          <w:tcPr>
            <w:tcW w:w="1014" w:type="dxa"/>
          </w:tcPr>
          <w:p w14:paraId="45187E8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Березень  2024 р.</w:t>
            </w:r>
          </w:p>
        </w:tc>
        <w:tc>
          <w:tcPr>
            <w:tcW w:w="893" w:type="dxa"/>
          </w:tcPr>
          <w:p w14:paraId="57BACA5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До підписання закону Президентом України</w:t>
            </w:r>
          </w:p>
        </w:tc>
        <w:tc>
          <w:tcPr>
            <w:tcW w:w="893" w:type="dxa"/>
          </w:tcPr>
          <w:p w14:paraId="33F09E5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НАЗК</w:t>
            </w:r>
          </w:p>
        </w:tc>
        <w:tc>
          <w:tcPr>
            <w:tcW w:w="1257" w:type="dxa"/>
          </w:tcPr>
          <w:p w14:paraId="30F7D87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2F38D53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9" w:type="dxa"/>
          </w:tcPr>
          <w:p w14:paraId="325802A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Закон підписано Президентом України</w:t>
            </w:r>
          </w:p>
        </w:tc>
        <w:tc>
          <w:tcPr>
            <w:tcW w:w="1164" w:type="dxa"/>
          </w:tcPr>
          <w:p w14:paraId="756ACDE8" w14:textId="77777777" w:rsidR="00B830DA" w:rsidRPr="00B830DA" w:rsidRDefault="00B830DA" w:rsidP="00B830DA">
            <w:pPr>
              <w:jc w:val="both"/>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sz w:val="16"/>
                <w:szCs w:val="16"/>
                <w:lang w:eastAsia="uk-UA" w:bidi="uk-UA"/>
              </w:rPr>
              <w:t>1. Офіційні друковані видання України.</w:t>
            </w:r>
          </w:p>
          <w:p w14:paraId="1D6A262F"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 xml:space="preserve">2. Офіційний </w:t>
            </w:r>
            <w:proofErr w:type="spellStart"/>
            <w:r w:rsidRPr="00B830DA">
              <w:rPr>
                <w:rFonts w:ascii="Times New Roman" w:eastAsia="Times New Roman" w:hAnsi="Times New Roman" w:cs="Times New Roman"/>
                <w:sz w:val="16"/>
                <w:szCs w:val="16"/>
                <w:lang w:eastAsia="uk-UA" w:bidi="uk-UA"/>
              </w:rPr>
              <w:t>вебпортал</w:t>
            </w:r>
            <w:proofErr w:type="spellEnd"/>
            <w:r w:rsidRPr="00B830DA">
              <w:rPr>
                <w:rFonts w:ascii="Times New Roman" w:eastAsia="Times New Roman" w:hAnsi="Times New Roman" w:cs="Times New Roman"/>
                <w:sz w:val="16"/>
                <w:szCs w:val="16"/>
                <w:lang w:eastAsia="uk-UA" w:bidi="uk-UA"/>
              </w:rPr>
              <w:t xml:space="preserve"> парламенту України (https://www.rada.gov.ua/)</w:t>
            </w:r>
          </w:p>
        </w:tc>
        <w:tc>
          <w:tcPr>
            <w:tcW w:w="992" w:type="dxa"/>
          </w:tcPr>
          <w:p w14:paraId="0C4797F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62E7C12C" w14:textId="77777777" w:rsidTr="009C2ACE">
        <w:trPr>
          <w:trHeight w:val="470"/>
        </w:trPr>
        <w:tc>
          <w:tcPr>
            <w:tcW w:w="14170" w:type="dxa"/>
            <w:gridSpan w:val="9"/>
            <w:tcBorders>
              <w:right w:val="single" w:sz="4" w:space="0" w:color="auto"/>
            </w:tcBorders>
            <w:shd w:val="clear" w:color="auto" w:fill="E2EFD9"/>
            <w:vAlign w:val="center"/>
          </w:tcPr>
          <w:p w14:paraId="64C7DFF6"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1.3.2.4.</w:t>
            </w:r>
          </w:p>
        </w:tc>
      </w:tr>
      <w:tr w:rsidR="00B830DA" w:rsidRPr="00B830DA" w14:paraId="3A7A2ECE" w14:textId="77777777" w:rsidTr="009C2ACE">
        <w:trPr>
          <w:trHeight w:val="230"/>
        </w:trPr>
        <w:tc>
          <w:tcPr>
            <w:tcW w:w="5322" w:type="dxa"/>
          </w:tcPr>
          <w:p w14:paraId="6FEAA8E5"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Розроблення проекту закону, яким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014" w:type="dxa"/>
          </w:tcPr>
          <w:p w14:paraId="185E595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Листопад 2023 р.</w:t>
            </w:r>
          </w:p>
        </w:tc>
        <w:tc>
          <w:tcPr>
            <w:tcW w:w="893" w:type="dxa"/>
          </w:tcPr>
          <w:p w14:paraId="769569A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 2024 р.</w:t>
            </w:r>
          </w:p>
        </w:tc>
        <w:tc>
          <w:tcPr>
            <w:tcW w:w="893" w:type="dxa"/>
          </w:tcPr>
          <w:p w14:paraId="5D02A40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495B664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527075E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F6923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3F75392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0F1F2FD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50206EC" w14:textId="77777777" w:rsidTr="009C2ACE">
        <w:trPr>
          <w:trHeight w:val="230"/>
        </w:trPr>
        <w:tc>
          <w:tcPr>
            <w:tcW w:w="5322" w:type="dxa"/>
          </w:tcPr>
          <w:p w14:paraId="7C62726B"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1.3.2.4., та забезпечення його доопрацювання (у разі потреби).</w:t>
            </w:r>
          </w:p>
        </w:tc>
        <w:tc>
          <w:tcPr>
            <w:tcW w:w="1014" w:type="dxa"/>
          </w:tcPr>
          <w:p w14:paraId="67CC6E0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Лютий 2024 р.</w:t>
            </w:r>
          </w:p>
        </w:tc>
        <w:tc>
          <w:tcPr>
            <w:tcW w:w="893" w:type="dxa"/>
          </w:tcPr>
          <w:p w14:paraId="28A6DA3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Березень 2024 р.</w:t>
            </w:r>
          </w:p>
        </w:tc>
        <w:tc>
          <w:tcPr>
            <w:tcW w:w="893" w:type="dxa"/>
          </w:tcPr>
          <w:p w14:paraId="240F37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76C2556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852887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14AEED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22BA6AC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Офіційний 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649E391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92CF8C3" w14:textId="77777777" w:rsidTr="009C2ACE">
        <w:trPr>
          <w:trHeight w:val="230"/>
        </w:trPr>
        <w:tc>
          <w:tcPr>
            <w:tcW w:w="5322" w:type="dxa"/>
          </w:tcPr>
          <w:p w14:paraId="59D04919"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1.3.2.4., із заінтересованими органами, проведення правової експертизи, подання до Кабінету Міністрів України та супровід в Уряді.</w:t>
            </w:r>
          </w:p>
        </w:tc>
        <w:tc>
          <w:tcPr>
            <w:tcW w:w="1014" w:type="dxa"/>
          </w:tcPr>
          <w:p w14:paraId="26913B3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Квітень 2024 р.</w:t>
            </w:r>
          </w:p>
        </w:tc>
        <w:tc>
          <w:tcPr>
            <w:tcW w:w="893" w:type="dxa"/>
          </w:tcPr>
          <w:p w14:paraId="2C99A5D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Травень 2024 р.</w:t>
            </w:r>
          </w:p>
        </w:tc>
        <w:tc>
          <w:tcPr>
            <w:tcW w:w="893" w:type="dxa"/>
          </w:tcPr>
          <w:p w14:paraId="1D7C026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3975B07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7300A1A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7A4628E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64" w:type="dxa"/>
          </w:tcPr>
          <w:p w14:paraId="709C30C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30772A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3FC5FAA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0FEF4A2" w14:textId="77777777" w:rsidTr="009C2ACE">
        <w:trPr>
          <w:trHeight w:val="230"/>
        </w:trPr>
        <w:tc>
          <w:tcPr>
            <w:tcW w:w="5322" w:type="dxa"/>
          </w:tcPr>
          <w:p w14:paraId="3D50177F"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xml:space="preserve"> Супроводження розгляду проекту закону, зазначеного у описі заходу 1 до очікуваного стратегічного результату 1.3.2.4., </w:t>
            </w:r>
            <w:r w:rsidRPr="00B830DA">
              <w:rPr>
                <w:rFonts w:ascii="Times New Roman" w:eastAsia="Times New Roman" w:hAnsi="Times New Roman" w:cs="Times New Roman"/>
                <w:color w:val="000000"/>
                <w:sz w:val="20"/>
                <w:szCs w:val="20"/>
                <w:lang w:eastAsia="uk-UA" w:bidi="uk-UA"/>
              </w:rPr>
              <w:lastRenderedPageBreak/>
              <w:t>у Верховній Раді України (у тому числі, у разі застосування до нього Президентом України права вето).</w:t>
            </w:r>
          </w:p>
        </w:tc>
        <w:tc>
          <w:tcPr>
            <w:tcW w:w="1014" w:type="dxa"/>
          </w:tcPr>
          <w:p w14:paraId="44A247F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lastRenderedPageBreak/>
              <w:t>Травень 2024 р.</w:t>
            </w:r>
          </w:p>
        </w:tc>
        <w:tc>
          <w:tcPr>
            <w:tcW w:w="893" w:type="dxa"/>
          </w:tcPr>
          <w:p w14:paraId="20B0A17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w:t>
            </w:r>
            <w:r w:rsidRPr="00B830DA">
              <w:rPr>
                <w:rFonts w:ascii="Times New Roman" w:eastAsia="Times New Roman" w:hAnsi="Times New Roman" w:cs="Times New Roman"/>
                <w:color w:val="000000"/>
                <w:sz w:val="16"/>
                <w:szCs w:val="16"/>
                <w:lang w:eastAsia="uk-UA" w:bidi="uk-UA"/>
              </w:rPr>
              <w:lastRenderedPageBreak/>
              <w:t>ом України</w:t>
            </w:r>
          </w:p>
        </w:tc>
        <w:tc>
          <w:tcPr>
            <w:tcW w:w="893" w:type="dxa"/>
          </w:tcPr>
          <w:p w14:paraId="332FCD1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НАЗК</w:t>
            </w:r>
          </w:p>
        </w:tc>
        <w:tc>
          <w:tcPr>
            <w:tcW w:w="1257" w:type="dxa"/>
          </w:tcPr>
          <w:p w14:paraId="4BDBCA4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49EC580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У межах встановлених бюджетних </w:t>
            </w:r>
            <w:r w:rsidRPr="00B830DA">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379" w:type="dxa"/>
          </w:tcPr>
          <w:p w14:paraId="0AFA6BB3"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Законопроект підписано Президентом України</w:t>
            </w:r>
          </w:p>
        </w:tc>
        <w:tc>
          <w:tcPr>
            <w:tcW w:w="1164" w:type="dxa"/>
          </w:tcPr>
          <w:p w14:paraId="4402735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2D109F9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2" w:type="dxa"/>
          </w:tcPr>
          <w:p w14:paraId="71C801E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w:t>
            </w:r>
          </w:p>
        </w:tc>
      </w:tr>
    </w:tbl>
    <w:p w14:paraId="171A3EE9" w14:textId="0621FA14" w:rsidR="00B830DA" w:rsidRDefault="00B830DA">
      <w:pPr>
        <w:rPr>
          <w:rFonts w:ascii="Calibri" w:eastAsia="Calibri" w:hAnsi="Calibri" w:cs="Times New Roman"/>
        </w:rPr>
      </w:pPr>
    </w:p>
    <w:p w14:paraId="60838C4F" w14:textId="77777777" w:rsidR="00B830DA" w:rsidRDefault="00B830DA">
      <w:pPr>
        <w:rPr>
          <w:rFonts w:ascii="Calibri" w:eastAsia="Calibri" w:hAnsi="Calibri" w:cs="Times New Roman"/>
        </w:rPr>
      </w:pPr>
      <w:r>
        <w:rPr>
          <w:rFonts w:ascii="Calibri" w:eastAsia="Calibri" w:hAnsi="Calibri" w:cs="Times New Roman"/>
        </w:rPr>
        <w:br w:type="page"/>
      </w:r>
    </w:p>
    <w:p w14:paraId="780D384F" w14:textId="77777777" w:rsidR="00B830DA" w:rsidRPr="006A1A55" w:rsidRDefault="00B830DA" w:rsidP="007E5A37">
      <w:pPr>
        <w:tabs>
          <w:tab w:val="left" w:pos="4395"/>
        </w:tabs>
        <w:spacing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Pr="006A1A55">
        <w:rPr>
          <w:rFonts w:ascii="Times New Roman" w:eastAsia="Calibri" w:hAnsi="Times New Roman" w:cs="Times New Roman"/>
          <w:b/>
          <w:sz w:val="24"/>
          <w:szCs w:val="24"/>
        </w:rPr>
        <w:t xml:space="preserve">.3.3. Проблема. Діяльність суб’єктів, які здійснюють вплив (лобіювання) на прийняття парламентом рішень, є непрозорою </w:t>
      </w:r>
      <w:r w:rsidRPr="006A1A55">
        <w:rPr>
          <w:rFonts w:ascii="Times New Roman" w:eastAsia="Calibri" w:hAnsi="Times New Roman" w:cs="Times New Roman"/>
          <w:b/>
          <w:sz w:val="24"/>
          <w:szCs w:val="24"/>
        </w:rPr>
        <w:br/>
        <w:t>та непублічною.</w:t>
      </w:r>
    </w:p>
    <w:p w14:paraId="2E36210B" w14:textId="77777777"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sidRPr="006A1A55">
        <w:rPr>
          <w:rFonts w:ascii="Times New Roman" w:eastAsia="Times New Roman" w:hAnsi="Times New Roman" w:cs="Times New Roman"/>
          <w:bCs/>
          <w:color w:val="000000"/>
          <w:sz w:val="24"/>
          <w:szCs w:val="24"/>
          <w:lang w:eastAsia="uk-UA" w:bidi="uk-UA"/>
        </w:rPr>
        <w:t>Обсяг сфер суспільного життя, які відповідно до ст.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6D9E5DAA" w14:textId="77777777"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sidRPr="006A1A55">
        <w:rPr>
          <w:rFonts w:ascii="Times New Roman" w:eastAsia="Times New Roman" w:hAnsi="Times New Roman" w:cs="Times New Roman"/>
          <w:bCs/>
          <w:color w:val="000000"/>
          <w:sz w:val="24"/>
          <w:szCs w:val="24"/>
          <w:lang w:eastAsia="uk-UA" w:bidi="uk-UA"/>
        </w:rPr>
        <w:t xml:space="preserve">Взаємодія членів парламенту із заінтересованими сторонами у процесі законотворчої діяльності є насьогодні непублічною, корумпованою і хаотичною; канали впливу на органи державної влади монополізовані сильними групами тиску, а цілий ряд суспільних рухів та організацій не мають можливості донести до парламенту свої ідеї та інтереси. </w:t>
      </w:r>
    </w:p>
    <w:p w14:paraId="6F7C2536" w14:textId="77777777"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Cs/>
          <w:color w:val="000000"/>
          <w:sz w:val="24"/>
          <w:szCs w:val="24"/>
          <w:lang w:eastAsia="uk-UA" w:bidi="uk-UA"/>
        </w:rPr>
        <w:t>Існують</w:t>
      </w:r>
      <w:r w:rsidRPr="006A1A55">
        <w:rPr>
          <w:rFonts w:ascii="Times New Roman" w:eastAsia="Times New Roman" w:hAnsi="Times New Roman" w:cs="Times New Roman"/>
          <w:bCs/>
          <w:color w:val="000000"/>
          <w:sz w:val="24"/>
          <w:szCs w:val="24"/>
          <w:lang w:eastAsia="uk-UA" w:bidi="uk-UA"/>
        </w:rPr>
        <w:t xml:space="preserve"> випадки зловживань, коли депутати намагаються законодавчо врегулювати правила ведення підконтрольного їм бізнесу</w:t>
      </w:r>
      <w:r w:rsidRPr="006A1A55">
        <w:rPr>
          <w:rFonts w:ascii="Times New Roman" w:eastAsia="Times New Roman" w:hAnsi="Times New Roman" w:cs="Times New Roman"/>
          <w:bCs/>
          <w:color w:val="000000"/>
          <w:sz w:val="24"/>
          <w:szCs w:val="24"/>
          <w:lang w:val="ru-RU" w:eastAsia="uk-UA" w:bidi="uk-UA"/>
        </w:rPr>
        <w:t xml:space="preserve"> </w:t>
      </w:r>
      <w:r w:rsidRPr="006A1A55">
        <w:rPr>
          <w:rFonts w:ascii="Times New Roman" w:eastAsia="Times New Roman" w:hAnsi="Times New Roman" w:cs="Times New Roman"/>
          <w:bCs/>
          <w:color w:val="000000"/>
          <w:sz w:val="24"/>
          <w:szCs w:val="24"/>
          <w:lang w:eastAsia="uk-UA" w:bidi="uk-UA"/>
        </w:rPr>
        <w:t>чи є обґрунтовані підозри, що</w:t>
      </w:r>
      <w:r>
        <w:rPr>
          <w:rFonts w:ascii="Times New Roman" w:eastAsia="Times New Roman" w:hAnsi="Times New Roman" w:cs="Times New Roman"/>
          <w:bCs/>
          <w:color w:val="000000"/>
          <w:sz w:val="24"/>
          <w:szCs w:val="24"/>
          <w:lang w:eastAsia="uk-UA" w:bidi="uk-UA"/>
        </w:rPr>
        <w:t xml:space="preserve"> вони </w:t>
      </w:r>
      <w:r w:rsidRPr="006A1A55">
        <w:rPr>
          <w:rFonts w:ascii="Times New Roman" w:eastAsia="Times New Roman" w:hAnsi="Times New Roman" w:cs="Times New Roman"/>
          <w:bCs/>
          <w:color w:val="000000"/>
          <w:sz w:val="24"/>
          <w:szCs w:val="24"/>
          <w:lang w:eastAsia="uk-UA" w:bidi="uk-UA"/>
        </w:rPr>
        <w:t xml:space="preserve">діють в інтересах </w:t>
      </w:r>
      <w:r>
        <w:rPr>
          <w:rFonts w:ascii="Times New Roman" w:eastAsia="Times New Roman" w:hAnsi="Times New Roman" w:cs="Times New Roman"/>
          <w:bCs/>
          <w:color w:val="000000"/>
          <w:sz w:val="24"/>
          <w:szCs w:val="24"/>
          <w:lang w:eastAsia="uk-UA" w:bidi="uk-UA"/>
        </w:rPr>
        <w:t xml:space="preserve">певних </w:t>
      </w:r>
      <w:r w:rsidRPr="006A1A55">
        <w:rPr>
          <w:rFonts w:ascii="Times New Roman" w:eastAsia="Times New Roman" w:hAnsi="Times New Roman" w:cs="Times New Roman"/>
          <w:bCs/>
          <w:color w:val="000000"/>
          <w:sz w:val="24"/>
          <w:szCs w:val="24"/>
          <w:lang w:eastAsia="uk-UA" w:bidi="uk-UA"/>
        </w:rPr>
        <w:t>фінансово-промислових груп.</w:t>
      </w:r>
    </w:p>
    <w:p w14:paraId="5C32473E" w14:textId="3AE7A998" w:rsidR="00B830DA" w:rsidRPr="006A1A55" w:rsidRDefault="00B830DA" w:rsidP="007E5A37">
      <w:pPr>
        <w:widowControl w:val="0"/>
        <w:tabs>
          <w:tab w:val="left" w:pos="1274"/>
        </w:tabs>
        <w:spacing w:line="256" w:lineRule="auto"/>
        <w:ind w:firstLine="567"/>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Cs/>
          <w:color w:val="000000"/>
          <w:sz w:val="24"/>
          <w:szCs w:val="24"/>
          <w:lang w:eastAsia="uk-UA" w:bidi="uk-UA"/>
        </w:rPr>
        <w:t>П</w:t>
      </w:r>
      <w:r w:rsidRPr="006A1A55">
        <w:rPr>
          <w:rFonts w:ascii="Times New Roman" w:eastAsia="Times New Roman" w:hAnsi="Times New Roman" w:cs="Times New Roman"/>
          <w:bCs/>
          <w:color w:val="000000"/>
          <w:sz w:val="24"/>
          <w:szCs w:val="24"/>
          <w:lang w:eastAsia="uk-UA" w:bidi="uk-UA"/>
        </w:rPr>
        <w:t xml:space="preserve">оширенню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w:t>
      </w:r>
      <w:r>
        <w:rPr>
          <w:rFonts w:ascii="Times New Roman" w:eastAsia="Times New Roman" w:hAnsi="Times New Roman" w:cs="Times New Roman"/>
          <w:bCs/>
          <w:color w:val="000000"/>
          <w:sz w:val="24"/>
          <w:szCs w:val="24"/>
          <w:lang w:eastAsia="uk-UA" w:bidi="uk-UA"/>
        </w:rPr>
        <w:t>корумпованості</w:t>
      </w:r>
      <w:r w:rsidRPr="006A1A55">
        <w:rPr>
          <w:rFonts w:ascii="Times New Roman" w:eastAsia="Times New Roman" w:hAnsi="Times New Roman" w:cs="Times New Roman"/>
          <w:bCs/>
          <w:color w:val="000000"/>
          <w:sz w:val="24"/>
          <w:szCs w:val="24"/>
          <w:lang w:eastAsia="uk-UA" w:bidi="uk-UA"/>
        </w:rPr>
        <w:t xml:space="preserve"> процесу взаємодії представників різних груп інтересів з представниками влади, забезпечити гласність і ві</w:t>
      </w:r>
      <w:r>
        <w:rPr>
          <w:rFonts w:ascii="Times New Roman" w:eastAsia="Times New Roman" w:hAnsi="Times New Roman" w:cs="Times New Roman"/>
          <w:bCs/>
          <w:color w:val="000000"/>
          <w:sz w:val="24"/>
          <w:szCs w:val="24"/>
          <w:lang w:eastAsia="uk-UA" w:bidi="uk-UA"/>
        </w:rPr>
        <w:t>дкритість</w:t>
      </w:r>
      <w:r w:rsidRPr="006A1A55">
        <w:rPr>
          <w:rFonts w:ascii="Times New Roman" w:eastAsia="Times New Roman" w:hAnsi="Times New Roman" w:cs="Times New Roman"/>
          <w:bCs/>
          <w:color w:val="000000"/>
          <w:sz w:val="24"/>
          <w:szCs w:val="24"/>
          <w:lang w:eastAsia="uk-UA" w:bidi="uk-UA"/>
        </w:rPr>
        <w:t xml:space="preserve"> ухвалення державних рішень.</w:t>
      </w:r>
    </w:p>
    <w:tbl>
      <w:tblPr>
        <w:tblStyle w:val="a3"/>
        <w:tblW w:w="15163" w:type="dxa"/>
        <w:tblLook w:val="04A0" w:firstRow="1" w:lastRow="0" w:firstColumn="1" w:lastColumn="0" w:noHBand="0" w:noVBand="1"/>
      </w:tblPr>
      <w:tblGrid>
        <w:gridCol w:w="2347"/>
        <w:gridCol w:w="7530"/>
        <w:gridCol w:w="1011"/>
        <w:gridCol w:w="2905"/>
        <w:gridCol w:w="1370"/>
      </w:tblGrid>
      <w:tr w:rsidR="00B830DA" w:rsidRPr="00D226C7" w14:paraId="3BADBB0C" w14:textId="77777777" w:rsidTr="009C2ACE">
        <w:tc>
          <w:tcPr>
            <w:tcW w:w="2347" w:type="dxa"/>
            <w:shd w:val="clear" w:color="auto" w:fill="E2EFD9"/>
            <w:vAlign w:val="center"/>
          </w:tcPr>
          <w:p w14:paraId="0FE40D90"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lang w:bidi="uk-UA"/>
              </w:rPr>
            </w:pPr>
            <w:r w:rsidRPr="00D226C7">
              <w:rPr>
                <w:rFonts w:ascii="Times New Roman" w:eastAsia="Calibri" w:hAnsi="Times New Roman" w:cs="Times New Roman"/>
                <w:b/>
                <w:sz w:val="20"/>
                <w:szCs w:val="20"/>
                <w:lang w:bidi="uk-UA"/>
              </w:rPr>
              <w:t>Очікуваний</w:t>
            </w:r>
          </w:p>
          <w:p w14:paraId="3AE90057" w14:textId="77777777" w:rsidR="00B830DA" w:rsidRPr="00D226C7" w:rsidRDefault="00B830DA" w:rsidP="009C2ACE">
            <w:pPr>
              <w:tabs>
                <w:tab w:val="left" w:pos="4395"/>
              </w:tabs>
              <w:ind w:firstLine="34"/>
              <w:jc w:val="center"/>
              <w:rPr>
                <w:rFonts w:ascii="Times New Roman" w:eastAsia="Calibri" w:hAnsi="Times New Roman" w:cs="Times New Roman"/>
                <w:sz w:val="20"/>
                <w:szCs w:val="20"/>
                <w:lang w:bidi="uk-UA"/>
              </w:rPr>
            </w:pPr>
            <w:r w:rsidRPr="00D226C7">
              <w:rPr>
                <w:rFonts w:ascii="Times New Roman" w:eastAsia="Calibri" w:hAnsi="Times New Roman" w:cs="Times New Roman"/>
                <w:b/>
                <w:sz w:val="20"/>
                <w:szCs w:val="20"/>
                <w:lang w:bidi="uk-UA"/>
              </w:rPr>
              <w:t>стратегічний результат</w:t>
            </w:r>
          </w:p>
        </w:tc>
        <w:tc>
          <w:tcPr>
            <w:tcW w:w="7530" w:type="dxa"/>
            <w:shd w:val="clear" w:color="auto" w:fill="E2EFD9"/>
            <w:vAlign w:val="center"/>
          </w:tcPr>
          <w:p w14:paraId="17BED7D5" w14:textId="77777777" w:rsidR="00B830DA" w:rsidRPr="00D226C7" w:rsidRDefault="00B830DA" w:rsidP="009C2ACE">
            <w:pPr>
              <w:tabs>
                <w:tab w:val="left" w:pos="4395"/>
              </w:tabs>
              <w:ind w:firstLine="34"/>
              <w:jc w:val="center"/>
              <w:rPr>
                <w:rFonts w:ascii="Times New Roman" w:eastAsia="Calibri" w:hAnsi="Times New Roman" w:cs="Times New Roman"/>
                <w:sz w:val="20"/>
                <w:szCs w:val="20"/>
                <w:lang w:bidi="uk-UA"/>
              </w:rPr>
            </w:pPr>
            <w:r w:rsidRPr="00D226C7">
              <w:rPr>
                <w:rFonts w:ascii="Times New Roman" w:eastAsia="Calibri" w:hAnsi="Times New Roman" w:cs="Times New Roman"/>
                <w:b/>
                <w:sz w:val="20"/>
                <w:szCs w:val="20"/>
              </w:rPr>
              <w:t>Показник (індикатор) досягнення</w:t>
            </w:r>
          </w:p>
        </w:tc>
        <w:tc>
          <w:tcPr>
            <w:tcW w:w="1011" w:type="dxa"/>
            <w:shd w:val="clear" w:color="auto" w:fill="E2EFD9"/>
            <w:vAlign w:val="center"/>
          </w:tcPr>
          <w:p w14:paraId="0F6AD222"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Частка</w:t>
            </w:r>
          </w:p>
          <w:p w14:paraId="100C2E55"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i/>
                <w:sz w:val="20"/>
                <w:szCs w:val="20"/>
              </w:rPr>
              <w:t>(у %)</w:t>
            </w:r>
          </w:p>
        </w:tc>
        <w:tc>
          <w:tcPr>
            <w:tcW w:w="2905" w:type="dxa"/>
            <w:shd w:val="clear" w:color="auto" w:fill="E2EFD9"/>
            <w:vAlign w:val="center"/>
          </w:tcPr>
          <w:p w14:paraId="3E5A2D66" w14:textId="77777777" w:rsidR="00B830DA" w:rsidRPr="00D226C7" w:rsidRDefault="00B830DA" w:rsidP="009C2ACE">
            <w:pPr>
              <w:tabs>
                <w:tab w:val="left" w:pos="4395"/>
              </w:tabs>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Джерело даних</w:t>
            </w:r>
          </w:p>
        </w:tc>
        <w:tc>
          <w:tcPr>
            <w:tcW w:w="1370" w:type="dxa"/>
            <w:tcBorders>
              <w:top w:val="single" w:sz="4" w:space="0" w:color="auto"/>
              <w:left w:val="single" w:sz="4" w:space="0" w:color="auto"/>
              <w:right w:val="single" w:sz="4" w:space="0" w:color="auto"/>
            </w:tcBorders>
            <w:shd w:val="clear" w:color="auto" w:fill="E2EFD9"/>
            <w:vAlign w:val="center"/>
          </w:tcPr>
          <w:p w14:paraId="248C7693"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Базовий показник</w:t>
            </w:r>
          </w:p>
        </w:tc>
      </w:tr>
      <w:tr w:rsidR="00B830DA" w:rsidRPr="00D226C7" w14:paraId="43EA63FA" w14:textId="77777777" w:rsidTr="009C2ACE">
        <w:tc>
          <w:tcPr>
            <w:tcW w:w="2347" w:type="dxa"/>
            <w:vMerge w:val="restart"/>
          </w:tcPr>
          <w:p w14:paraId="12ED8671" w14:textId="77777777" w:rsidR="00B830DA" w:rsidRPr="00D226C7" w:rsidRDefault="00B830DA" w:rsidP="007F29E1">
            <w:pPr>
              <w:tabs>
                <w:tab w:val="left" w:pos="4395"/>
              </w:tabs>
              <w:ind w:firstLine="312"/>
              <w:rPr>
                <w:rFonts w:ascii="Times New Roman" w:eastAsia="Calibri" w:hAnsi="Times New Roman" w:cs="Times New Roman"/>
                <w:b/>
                <w:sz w:val="20"/>
                <w:szCs w:val="20"/>
              </w:rPr>
            </w:pPr>
            <w:r w:rsidRPr="00D226C7">
              <w:rPr>
                <w:rFonts w:ascii="Times New Roman" w:eastAsia="Calibri" w:hAnsi="Times New Roman" w:cs="Times New Roman"/>
                <w:b/>
                <w:sz w:val="20"/>
                <w:szCs w:val="20"/>
                <w:lang w:bidi="uk-UA"/>
              </w:rPr>
              <w:t>1.3.3.1. Завдяки дієвому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tc>
        <w:tc>
          <w:tcPr>
            <w:tcW w:w="7530" w:type="dxa"/>
          </w:tcPr>
          <w:p w14:paraId="3D4B50AD" w14:textId="77777777" w:rsidR="00B830DA" w:rsidRPr="00D226C7" w:rsidRDefault="00B830DA" w:rsidP="007F29E1">
            <w:pPr>
              <w:tabs>
                <w:tab w:val="left" w:pos="4395"/>
              </w:tabs>
              <w:ind w:firstLine="312"/>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 Набрав чинності Закон, яким визначено:</w:t>
            </w:r>
          </w:p>
          <w:p w14:paraId="0D62DC76"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дієві правила взаємодії посадових осіб органів державної влади із заінтересованими сторонами та суб’єктами впливу (лобістами) (20%);</w:t>
            </w:r>
          </w:p>
          <w:p w14:paraId="24B045A7"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прозорі механізми забезпечення впливу на посадових осіб державних органів та органів місцевого самоврядування</w:t>
            </w:r>
            <w:r w:rsidRPr="00D226C7" w:rsidDel="00A2437C">
              <w:rPr>
                <w:rFonts w:ascii="Times New Roman" w:eastAsia="Calibri" w:hAnsi="Times New Roman" w:cs="Times New Roman"/>
                <w:sz w:val="16"/>
                <w:szCs w:val="16"/>
                <w:lang w:bidi="uk-UA"/>
              </w:rPr>
              <w:t xml:space="preserve"> </w:t>
            </w:r>
            <w:r w:rsidRPr="00D226C7">
              <w:rPr>
                <w:rFonts w:ascii="Times New Roman" w:eastAsia="Calibri" w:hAnsi="Times New Roman" w:cs="Times New Roman"/>
                <w:sz w:val="16"/>
                <w:szCs w:val="16"/>
                <w:lang w:bidi="uk-UA"/>
              </w:rPr>
              <w:t>(20%);</w:t>
            </w:r>
          </w:p>
          <w:p w14:paraId="196CE6A5"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механізми контролю за лобістською діяльністю та орган, уповноважений здійснювати такий контроль (30%);</w:t>
            </w:r>
          </w:p>
          <w:p w14:paraId="01D90CA8"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відповідальність за порушення вимог відповідного Закону (20%).</w:t>
            </w:r>
          </w:p>
        </w:tc>
        <w:tc>
          <w:tcPr>
            <w:tcW w:w="1011" w:type="dxa"/>
          </w:tcPr>
          <w:p w14:paraId="7EC72BCB" w14:textId="77777777" w:rsidR="00B830DA" w:rsidRPr="00D226C7" w:rsidRDefault="00B830DA" w:rsidP="007F29E1">
            <w:pPr>
              <w:tabs>
                <w:tab w:val="left" w:pos="4395"/>
              </w:tabs>
              <w:jc w:val="center"/>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90</w:t>
            </w:r>
          </w:p>
        </w:tc>
        <w:tc>
          <w:tcPr>
            <w:tcW w:w="2905" w:type="dxa"/>
          </w:tcPr>
          <w:p w14:paraId="39E815BE" w14:textId="77777777" w:rsidR="00B830DA" w:rsidRPr="00D226C7" w:rsidRDefault="00B830DA" w:rsidP="009C2ACE">
            <w:pPr>
              <w:tabs>
                <w:tab w:val="left" w:pos="4395"/>
              </w:tabs>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 Офіційні друковані видання України.</w:t>
            </w:r>
          </w:p>
          <w:p w14:paraId="1796E255" w14:textId="77777777"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 xml:space="preserve">2. Офіційний </w:t>
            </w:r>
            <w:proofErr w:type="spellStart"/>
            <w:r w:rsidRPr="00D226C7">
              <w:rPr>
                <w:rFonts w:ascii="Times New Roman" w:eastAsia="Calibri" w:hAnsi="Times New Roman" w:cs="Times New Roman"/>
                <w:sz w:val="20"/>
                <w:szCs w:val="20"/>
                <w:lang w:bidi="uk-UA"/>
              </w:rPr>
              <w:t>вебпортал</w:t>
            </w:r>
            <w:proofErr w:type="spellEnd"/>
            <w:r w:rsidRPr="00D226C7">
              <w:rPr>
                <w:rFonts w:ascii="Times New Roman" w:eastAsia="Calibri" w:hAnsi="Times New Roman" w:cs="Times New Roman"/>
                <w:sz w:val="20"/>
                <w:szCs w:val="20"/>
                <w:lang w:bidi="uk-UA"/>
              </w:rPr>
              <w:t xml:space="preserve"> Парламенту України (https://</w:t>
            </w:r>
            <w:r w:rsidRPr="00D226C7">
              <w:rPr>
                <w:rFonts w:ascii="Times New Roman" w:eastAsia="Calibri" w:hAnsi="Times New Roman" w:cs="Times New Roman"/>
                <w:sz w:val="20"/>
                <w:szCs w:val="20"/>
                <w:lang w:val="en-US" w:bidi="uk-UA"/>
              </w:rPr>
              <w:t>www</w:t>
            </w:r>
            <w:r w:rsidRPr="00D226C7">
              <w:rPr>
                <w:rFonts w:ascii="Times New Roman" w:eastAsia="Calibri" w:hAnsi="Times New Roman" w:cs="Times New Roman"/>
                <w:sz w:val="20"/>
                <w:szCs w:val="20"/>
                <w:lang w:bidi="uk-UA"/>
              </w:rPr>
              <w:t>.zakon.rada.gov.ua/)</w:t>
            </w:r>
          </w:p>
        </w:tc>
        <w:tc>
          <w:tcPr>
            <w:tcW w:w="1370" w:type="dxa"/>
          </w:tcPr>
          <w:p w14:paraId="12759539" w14:textId="77777777"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Закон чинності не набрав</w:t>
            </w:r>
          </w:p>
        </w:tc>
      </w:tr>
      <w:tr w:rsidR="00B830DA" w:rsidRPr="00D226C7" w14:paraId="6EE37574" w14:textId="77777777" w:rsidTr="009C2ACE">
        <w:tc>
          <w:tcPr>
            <w:tcW w:w="2347" w:type="dxa"/>
            <w:vMerge/>
          </w:tcPr>
          <w:p w14:paraId="120A5779" w14:textId="77777777" w:rsidR="00B830DA" w:rsidRPr="00D226C7" w:rsidRDefault="00B830DA" w:rsidP="007F29E1">
            <w:pPr>
              <w:tabs>
                <w:tab w:val="left" w:pos="4395"/>
              </w:tabs>
              <w:ind w:firstLine="312"/>
              <w:rPr>
                <w:rFonts w:ascii="Times New Roman" w:eastAsia="Calibri" w:hAnsi="Times New Roman" w:cs="Times New Roman"/>
                <w:sz w:val="20"/>
                <w:szCs w:val="20"/>
                <w:lang w:bidi="uk-UA"/>
              </w:rPr>
            </w:pPr>
          </w:p>
        </w:tc>
        <w:tc>
          <w:tcPr>
            <w:tcW w:w="7530" w:type="dxa"/>
          </w:tcPr>
          <w:p w14:paraId="31CA74C8"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20"/>
                <w:szCs w:val="20"/>
                <w:lang w:eastAsia="uk-UA" w:bidi="uk-UA"/>
              </w:rPr>
            </w:pPr>
            <w:r w:rsidRPr="00D226C7">
              <w:rPr>
                <w:rFonts w:ascii="Times New Roman" w:eastAsia="Times New Roman" w:hAnsi="Times New Roman" w:cs="Times New Roman"/>
                <w:color w:val="000000"/>
                <w:sz w:val="20"/>
                <w:szCs w:val="20"/>
                <w:lang w:eastAsia="uk-UA" w:bidi="uk-UA"/>
              </w:rPr>
              <w:t>2. За результатами експертного опитування встановлено, що:</w:t>
            </w:r>
          </w:p>
          <w:p w14:paraId="3EEEDC7F"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16"/>
                <w:szCs w:val="16"/>
                <w:lang w:eastAsia="uk-UA" w:bidi="uk-UA"/>
              </w:rPr>
            </w:pPr>
            <w:r w:rsidRPr="00D226C7">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(10%);</w:t>
            </w:r>
          </w:p>
          <w:p w14:paraId="6C8DC4AF"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16"/>
                <w:szCs w:val="16"/>
                <w:lang w:eastAsia="uk-UA" w:bidi="uk-UA"/>
              </w:rPr>
            </w:pPr>
            <w:r w:rsidRPr="00D226C7">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(7%);</w:t>
            </w:r>
          </w:p>
          <w:p w14:paraId="15BF5188"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(3%).</w:t>
            </w:r>
          </w:p>
        </w:tc>
        <w:tc>
          <w:tcPr>
            <w:tcW w:w="1011" w:type="dxa"/>
          </w:tcPr>
          <w:p w14:paraId="67A78DDE" w14:textId="77777777" w:rsidR="00B830DA" w:rsidRPr="00D226C7" w:rsidRDefault="00B830DA" w:rsidP="007F29E1">
            <w:pPr>
              <w:tabs>
                <w:tab w:val="left" w:pos="4395"/>
              </w:tabs>
              <w:jc w:val="center"/>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10</w:t>
            </w:r>
          </w:p>
        </w:tc>
        <w:tc>
          <w:tcPr>
            <w:tcW w:w="2905" w:type="dxa"/>
          </w:tcPr>
          <w:p w14:paraId="21FA7815" w14:textId="77777777"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Експертне опитування, організоване НАЗК</w:t>
            </w:r>
          </w:p>
        </w:tc>
        <w:tc>
          <w:tcPr>
            <w:tcW w:w="1370" w:type="dxa"/>
          </w:tcPr>
          <w:p w14:paraId="20DD8FD4" w14:textId="77777777" w:rsidR="00B830DA" w:rsidRPr="00D226C7" w:rsidRDefault="00B830DA" w:rsidP="009C2ACE">
            <w:pPr>
              <w:tabs>
                <w:tab w:val="left" w:pos="4395"/>
              </w:tabs>
              <w:ind w:firstLine="567"/>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w:t>
            </w:r>
          </w:p>
        </w:tc>
      </w:tr>
    </w:tbl>
    <w:p w14:paraId="2DEBAF1E" w14:textId="77777777" w:rsidR="00B830DA" w:rsidRDefault="00B830DA" w:rsidP="00B830DA">
      <w:pPr>
        <w:rPr>
          <w:rFonts w:ascii="Times New Roman" w:hAnsi="Times New Roman" w:cs="Times New Roman"/>
          <w:b/>
          <w:sz w:val="24"/>
          <w:szCs w:val="24"/>
        </w:rPr>
      </w:pPr>
    </w:p>
    <w:p w14:paraId="1E19B922" w14:textId="77777777" w:rsidR="00B830DA" w:rsidRDefault="00B830DA">
      <w:pPr>
        <w:rPr>
          <w:rFonts w:ascii="Times New Roman" w:hAnsi="Times New Roman" w:cs="Times New Roman"/>
          <w:b/>
          <w:sz w:val="24"/>
          <w:szCs w:val="24"/>
        </w:rPr>
      </w:pPr>
      <w:r>
        <w:rPr>
          <w:rFonts w:ascii="Times New Roman" w:hAnsi="Times New Roman" w:cs="Times New Roman"/>
          <w:b/>
          <w:sz w:val="24"/>
          <w:szCs w:val="24"/>
        </w:rPr>
        <w:br w:type="page"/>
      </w:r>
    </w:p>
    <w:p w14:paraId="271DE13F" w14:textId="45A9CC91" w:rsidR="00B830DA" w:rsidRPr="00B830DA" w:rsidRDefault="00B830DA" w:rsidP="00B830DA">
      <w:pPr>
        <w:rPr>
          <w:rFonts w:ascii="Times New Roman" w:hAnsi="Times New Roman" w:cs="Times New Roman"/>
          <w:b/>
          <w:sz w:val="24"/>
          <w:szCs w:val="24"/>
        </w:rPr>
      </w:pPr>
      <w:r w:rsidRPr="00B830DA">
        <w:rPr>
          <w:rFonts w:ascii="Times New Roman" w:hAnsi="Times New Roman" w:cs="Times New Roman"/>
          <w:b/>
          <w:sz w:val="24"/>
          <w:szCs w:val="24"/>
        </w:rPr>
        <w:lastRenderedPageBreak/>
        <w:t>Заходи:</w:t>
      </w:r>
    </w:p>
    <w:tbl>
      <w:tblPr>
        <w:tblStyle w:val="a3"/>
        <w:tblW w:w="5049" w:type="pct"/>
        <w:tblLayout w:type="fixed"/>
        <w:tblLook w:val="04A0" w:firstRow="1" w:lastRow="0" w:firstColumn="1" w:lastColumn="0" w:noHBand="0" w:noVBand="1"/>
      </w:tblPr>
      <w:tblGrid>
        <w:gridCol w:w="5715"/>
        <w:gridCol w:w="1084"/>
        <w:gridCol w:w="1025"/>
        <w:gridCol w:w="875"/>
        <w:gridCol w:w="1348"/>
        <w:gridCol w:w="1347"/>
        <w:gridCol w:w="1479"/>
        <w:gridCol w:w="1162"/>
        <w:gridCol w:w="985"/>
      </w:tblGrid>
      <w:tr w:rsidR="00B830DA" w:rsidRPr="009139CA" w14:paraId="122797BE" w14:textId="77777777" w:rsidTr="009C2ACE">
        <w:trPr>
          <w:trHeight w:val="479"/>
        </w:trPr>
        <w:tc>
          <w:tcPr>
            <w:tcW w:w="5777" w:type="dxa"/>
            <w:vMerge w:val="restart"/>
            <w:shd w:val="clear" w:color="auto" w:fill="D9E2F3" w:themeFill="accent1" w:themeFillTint="33"/>
            <w:vAlign w:val="center"/>
          </w:tcPr>
          <w:p w14:paraId="4056FC56" w14:textId="77777777" w:rsidR="00B830DA" w:rsidRPr="009139CA" w:rsidRDefault="00B830DA" w:rsidP="009C2ACE">
            <w:pPr>
              <w:ind w:left="-73"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7" w:type="dxa"/>
            <w:gridSpan w:val="2"/>
            <w:shd w:val="clear" w:color="auto" w:fill="D9E2F3" w:themeFill="accent1" w:themeFillTint="33"/>
            <w:vAlign w:val="center"/>
          </w:tcPr>
          <w:p w14:paraId="641B4FE6" w14:textId="77777777" w:rsidR="00B830DA" w:rsidRPr="009139CA" w:rsidRDefault="00B830DA" w:rsidP="009C2ACE">
            <w:pPr>
              <w:ind w:left="-73" w:right="-45"/>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882" w:type="dxa"/>
            <w:vMerge w:val="restart"/>
            <w:shd w:val="clear" w:color="auto" w:fill="D9E2F3" w:themeFill="accent1" w:themeFillTint="33"/>
            <w:vAlign w:val="center"/>
          </w:tcPr>
          <w:p w14:paraId="06D51089"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719" w:type="dxa"/>
            <w:gridSpan w:val="2"/>
            <w:shd w:val="clear" w:color="auto" w:fill="D9E2F3" w:themeFill="accent1" w:themeFillTint="33"/>
            <w:vAlign w:val="center"/>
          </w:tcPr>
          <w:p w14:paraId="36E8136A" w14:textId="77777777" w:rsidR="00B830DA" w:rsidRPr="009139CA" w:rsidRDefault="00B830DA" w:rsidP="009C2ACE">
            <w:pPr>
              <w:ind w:left="-73" w:right="-45"/>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493" w:type="dxa"/>
            <w:vMerge w:val="restart"/>
            <w:shd w:val="clear" w:color="auto" w:fill="D9E2F3" w:themeFill="accent1" w:themeFillTint="33"/>
            <w:vAlign w:val="center"/>
          </w:tcPr>
          <w:p w14:paraId="003D9377" w14:textId="77777777" w:rsidR="00B830DA" w:rsidRPr="009139CA" w:rsidRDefault="00B830DA" w:rsidP="009C2ACE">
            <w:pPr>
              <w:ind w:left="-73" w:right="-4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72" w:type="dxa"/>
            <w:vMerge w:val="restart"/>
            <w:shd w:val="clear" w:color="auto" w:fill="D9E2F3" w:themeFill="accent1" w:themeFillTint="33"/>
            <w:vAlign w:val="center"/>
          </w:tcPr>
          <w:p w14:paraId="554EFA6C"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9E2F3" w:themeFill="accent1" w:themeFillTint="33"/>
            <w:vAlign w:val="center"/>
          </w:tcPr>
          <w:p w14:paraId="51E9D1EF" w14:textId="77777777" w:rsidR="00B830DA" w:rsidRPr="009139CA" w:rsidRDefault="00B830DA" w:rsidP="009C2ACE">
            <w:pPr>
              <w:ind w:left="-73" w:right="-45"/>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B830DA" w:rsidRPr="009139CA" w14:paraId="1DFA3692" w14:textId="77777777" w:rsidTr="009C2ACE">
        <w:trPr>
          <w:trHeight w:val="473"/>
        </w:trPr>
        <w:tc>
          <w:tcPr>
            <w:tcW w:w="5777" w:type="dxa"/>
            <w:vMerge/>
            <w:shd w:val="clear" w:color="auto" w:fill="D9E2F3" w:themeFill="accent1" w:themeFillTint="33"/>
            <w:vAlign w:val="center"/>
          </w:tcPr>
          <w:p w14:paraId="13F5064E"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093" w:type="dxa"/>
            <w:shd w:val="clear" w:color="auto" w:fill="D9E2F3" w:themeFill="accent1" w:themeFillTint="33"/>
            <w:vAlign w:val="center"/>
          </w:tcPr>
          <w:p w14:paraId="39FF8D3E"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1034" w:type="dxa"/>
            <w:shd w:val="clear" w:color="auto" w:fill="D9E2F3" w:themeFill="accent1" w:themeFillTint="33"/>
            <w:vAlign w:val="center"/>
          </w:tcPr>
          <w:p w14:paraId="1BDA5220"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882" w:type="dxa"/>
            <w:vMerge/>
            <w:shd w:val="clear" w:color="auto" w:fill="D9E2F3" w:themeFill="accent1" w:themeFillTint="33"/>
            <w:vAlign w:val="center"/>
          </w:tcPr>
          <w:p w14:paraId="218D5DDC"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360" w:type="dxa"/>
            <w:shd w:val="clear" w:color="auto" w:fill="D9E2F3" w:themeFill="accent1" w:themeFillTint="33"/>
            <w:vAlign w:val="center"/>
          </w:tcPr>
          <w:p w14:paraId="4756784B"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359" w:type="dxa"/>
            <w:shd w:val="clear" w:color="auto" w:fill="D9E2F3" w:themeFill="accent1" w:themeFillTint="33"/>
            <w:vAlign w:val="center"/>
          </w:tcPr>
          <w:p w14:paraId="5B51B800"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493" w:type="dxa"/>
            <w:vMerge/>
            <w:shd w:val="clear" w:color="auto" w:fill="D9E2F3" w:themeFill="accent1" w:themeFillTint="33"/>
            <w:vAlign w:val="center"/>
          </w:tcPr>
          <w:p w14:paraId="690CC146"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172" w:type="dxa"/>
            <w:vMerge/>
            <w:shd w:val="clear" w:color="auto" w:fill="D9E2F3" w:themeFill="accent1" w:themeFillTint="33"/>
            <w:vAlign w:val="center"/>
          </w:tcPr>
          <w:p w14:paraId="295F7C23"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993" w:type="dxa"/>
            <w:vMerge/>
            <w:shd w:val="clear" w:color="auto" w:fill="D9E2F3" w:themeFill="accent1" w:themeFillTint="33"/>
          </w:tcPr>
          <w:p w14:paraId="4F2A1F29" w14:textId="77777777" w:rsidR="00B830DA" w:rsidRPr="009139CA" w:rsidRDefault="00B830DA" w:rsidP="009C2ACE">
            <w:pPr>
              <w:ind w:left="-73" w:right="-45"/>
              <w:jc w:val="center"/>
              <w:rPr>
                <w:rFonts w:ascii="Times New Roman" w:eastAsia="Times New Roman" w:hAnsi="Times New Roman" w:cs="Times New Roman"/>
                <w:b/>
                <w:sz w:val="16"/>
                <w:szCs w:val="16"/>
              </w:rPr>
            </w:pPr>
          </w:p>
        </w:tc>
      </w:tr>
      <w:tr w:rsidR="00B830DA" w:rsidRPr="009139CA" w14:paraId="2A2253C7" w14:textId="77777777" w:rsidTr="009C2ACE">
        <w:trPr>
          <w:trHeight w:val="473"/>
        </w:trPr>
        <w:tc>
          <w:tcPr>
            <w:tcW w:w="15163" w:type="dxa"/>
            <w:gridSpan w:val="9"/>
            <w:shd w:val="clear" w:color="auto" w:fill="E2EFD9" w:themeFill="accent6" w:themeFillTint="33"/>
            <w:vAlign w:val="center"/>
          </w:tcPr>
          <w:p w14:paraId="230C4E3E" w14:textId="77777777" w:rsidR="00B830DA" w:rsidRDefault="00B830DA" w:rsidP="009C2ACE">
            <w:pPr>
              <w:ind w:left="-73" w:right="-45"/>
              <w:jc w:val="center"/>
              <w:rPr>
                <w:rFonts w:ascii="Times New Roman" w:eastAsia="Times New Roman" w:hAnsi="Times New Roman" w:cs="Times New Roman"/>
                <w:sz w:val="16"/>
                <w:szCs w:val="16"/>
              </w:rPr>
            </w:pPr>
            <w:r w:rsidRPr="00375615">
              <w:rPr>
                <w:rFonts w:ascii="Times New Roman" w:eastAsia="Times New Roman" w:hAnsi="Times New Roman" w:cs="Times New Roman"/>
                <w:b/>
                <w:sz w:val="24"/>
                <w:szCs w:val="24"/>
              </w:rPr>
              <w:t xml:space="preserve">Очікуваний стратегічний результат </w:t>
            </w:r>
            <w:r>
              <w:rPr>
                <w:rFonts w:ascii="Times New Roman" w:eastAsia="Times New Roman" w:hAnsi="Times New Roman" w:cs="Times New Roman"/>
                <w:b/>
                <w:sz w:val="24"/>
                <w:szCs w:val="24"/>
              </w:rPr>
              <w:t>1</w:t>
            </w:r>
            <w:r w:rsidRPr="00E353F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Pr="00E353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E353FD">
              <w:rPr>
                <w:rFonts w:ascii="Times New Roman" w:eastAsia="Times New Roman" w:hAnsi="Times New Roman" w:cs="Times New Roman"/>
                <w:b/>
                <w:sz w:val="24"/>
                <w:szCs w:val="24"/>
              </w:rPr>
              <w:t>.</w:t>
            </w:r>
          </w:p>
        </w:tc>
      </w:tr>
      <w:tr w:rsidR="00B830DA" w:rsidRPr="009139CA" w14:paraId="7ADE624C" w14:textId="77777777" w:rsidTr="007F29E1">
        <w:trPr>
          <w:trHeight w:val="473"/>
        </w:trPr>
        <w:tc>
          <w:tcPr>
            <w:tcW w:w="5777" w:type="dxa"/>
            <w:shd w:val="clear" w:color="auto" w:fill="auto"/>
            <w:vAlign w:val="center"/>
          </w:tcPr>
          <w:p w14:paraId="01F4B610" w14:textId="77777777" w:rsidR="00B830DA" w:rsidRPr="00AE76DE" w:rsidRDefault="00B830DA" w:rsidP="009C2ACE">
            <w:pPr>
              <w:ind w:left="-73" w:right="-45" w:firstLine="306"/>
              <w:jc w:val="both"/>
              <w:rPr>
                <w:rFonts w:ascii="Times New Roman" w:eastAsia="Times New Roman" w:hAnsi="Times New Roman" w:cs="Times New Roman"/>
                <w:sz w:val="20"/>
                <w:szCs w:val="20"/>
              </w:rPr>
            </w:pPr>
            <w:r w:rsidRPr="002F0679">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sidRPr="00AE76DE">
              <w:rPr>
                <w:rFonts w:ascii="Times New Roman" w:eastAsia="Times New Roman" w:hAnsi="Times New Roman" w:cs="Times New Roman"/>
                <w:sz w:val="20"/>
                <w:szCs w:val="20"/>
              </w:rPr>
              <w:t xml:space="preserve">Здійснення аналітичного дослідження систем лобіювання, що існують в інших країнах, з метою визначення яка саме модель може бути адаптована у правовій системі України, та забезпечить дієвий механізм </w:t>
            </w:r>
            <w:r>
              <w:rPr>
                <w:rFonts w:ascii="Times New Roman" w:eastAsia="Times New Roman" w:hAnsi="Times New Roman" w:cs="Times New Roman"/>
                <w:sz w:val="20"/>
                <w:szCs w:val="20"/>
              </w:rPr>
              <w:t xml:space="preserve">прозорого </w:t>
            </w:r>
            <w:r w:rsidRPr="00AE76DE">
              <w:rPr>
                <w:rFonts w:ascii="Times New Roman" w:eastAsia="Times New Roman" w:hAnsi="Times New Roman" w:cs="Times New Roman"/>
                <w:sz w:val="20"/>
                <w:szCs w:val="20"/>
              </w:rPr>
              <w:t>впливу на процес прийняття управлінських рішень з боку зацікавлених комерційних структур, громадських організацій, об’є</w:t>
            </w:r>
            <w:r>
              <w:rPr>
                <w:rFonts w:ascii="Times New Roman" w:eastAsia="Times New Roman" w:hAnsi="Times New Roman" w:cs="Times New Roman"/>
                <w:sz w:val="20"/>
                <w:szCs w:val="20"/>
              </w:rPr>
              <w:t>днань громадян, окремих осіб</w:t>
            </w:r>
          </w:p>
        </w:tc>
        <w:tc>
          <w:tcPr>
            <w:tcW w:w="1093" w:type="dxa"/>
            <w:shd w:val="clear" w:color="auto" w:fill="auto"/>
          </w:tcPr>
          <w:p w14:paraId="23F94334" w14:textId="77777777" w:rsidR="00B830DA"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Січень </w:t>
            </w:r>
          </w:p>
          <w:p w14:paraId="2C93EEFF"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2023 р.</w:t>
            </w:r>
          </w:p>
        </w:tc>
        <w:tc>
          <w:tcPr>
            <w:tcW w:w="1034" w:type="dxa"/>
            <w:shd w:val="clear" w:color="auto" w:fill="auto"/>
          </w:tcPr>
          <w:p w14:paraId="42447398" w14:textId="77777777" w:rsidR="00B830DA"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Квітень</w:t>
            </w:r>
          </w:p>
          <w:p w14:paraId="57136895"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 2023 р.</w:t>
            </w:r>
          </w:p>
        </w:tc>
        <w:tc>
          <w:tcPr>
            <w:tcW w:w="882" w:type="dxa"/>
            <w:shd w:val="clear" w:color="auto" w:fill="auto"/>
          </w:tcPr>
          <w:p w14:paraId="1E9FF838"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НАЗК </w:t>
            </w:r>
          </w:p>
        </w:tc>
        <w:tc>
          <w:tcPr>
            <w:tcW w:w="1360" w:type="dxa"/>
          </w:tcPr>
          <w:p w14:paraId="7A0238E2" w14:textId="77777777" w:rsidR="00B830DA" w:rsidRPr="00AE76DE" w:rsidRDefault="00B830DA" w:rsidP="009C2ACE">
            <w:pPr>
              <w:ind w:left="-73" w:right="-45"/>
              <w:jc w:val="center"/>
              <w:rPr>
                <w:rFonts w:ascii="Times New Roman" w:eastAsia="Times New Roman" w:hAnsi="Times New Roman" w:cs="Times New Roman"/>
                <w:sz w:val="16"/>
                <w:szCs w:val="16"/>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424D2D50" w14:textId="77777777" w:rsidR="00B830DA" w:rsidRPr="00AE76DE" w:rsidRDefault="00B830DA" w:rsidP="009C2ACE">
            <w:pPr>
              <w:ind w:left="-73" w:right="-45"/>
              <w:jc w:val="center"/>
              <w:rPr>
                <w:rFonts w:ascii="Times New Roman" w:eastAsia="Times New Roman" w:hAnsi="Times New Roman" w:cs="Times New Roman"/>
                <w:sz w:val="16"/>
                <w:szCs w:val="16"/>
              </w:rPr>
            </w:pPr>
            <w:r w:rsidRPr="00E35B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shd w:val="clear" w:color="auto" w:fill="auto"/>
          </w:tcPr>
          <w:p w14:paraId="25D02F9B" w14:textId="77777777" w:rsidR="00B830DA" w:rsidRPr="00AE76DE" w:rsidRDefault="00B830DA" w:rsidP="009C2ACE">
            <w:pPr>
              <w:ind w:left="-73"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здійснено</w:t>
            </w:r>
          </w:p>
        </w:tc>
        <w:tc>
          <w:tcPr>
            <w:tcW w:w="1172" w:type="dxa"/>
            <w:shd w:val="clear" w:color="auto" w:fill="auto"/>
            <w:vAlign w:val="center"/>
          </w:tcPr>
          <w:p w14:paraId="3EBF031C" w14:textId="77777777" w:rsidR="00B830DA" w:rsidRPr="00AE76DE" w:rsidRDefault="00B830DA" w:rsidP="009C2ACE">
            <w:pPr>
              <w:ind w:left="-73" w:right="-45"/>
              <w:jc w:val="center"/>
              <w:rPr>
                <w:rFonts w:ascii="Times New Roman" w:eastAsia="Times New Roman" w:hAnsi="Times New Roman" w:cs="Times New Roman"/>
                <w:sz w:val="16"/>
                <w:szCs w:val="16"/>
              </w:rPr>
            </w:pPr>
          </w:p>
        </w:tc>
        <w:tc>
          <w:tcPr>
            <w:tcW w:w="993" w:type="dxa"/>
            <w:shd w:val="clear" w:color="auto" w:fill="auto"/>
          </w:tcPr>
          <w:p w14:paraId="40E70CAF" w14:textId="77777777" w:rsidR="00B830DA" w:rsidRPr="00AE76DE" w:rsidRDefault="00B830DA" w:rsidP="009C2ACE">
            <w:pPr>
              <w:ind w:left="-73"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здійснено</w:t>
            </w:r>
          </w:p>
        </w:tc>
      </w:tr>
      <w:tr w:rsidR="00B830DA" w:rsidRPr="009139CA" w14:paraId="277770CA" w14:textId="77777777" w:rsidTr="009C2ACE">
        <w:trPr>
          <w:trHeight w:val="230"/>
        </w:trPr>
        <w:tc>
          <w:tcPr>
            <w:tcW w:w="5777" w:type="dxa"/>
          </w:tcPr>
          <w:p w14:paraId="406DFDD0" w14:textId="77777777" w:rsidR="00B830DA"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AE76DE">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w:t>
            </w:r>
            <w:r w:rsidRPr="00855BB6">
              <w:rPr>
                <w:rFonts w:ascii="Times New Roman" w:eastAsia="Times New Roman" w:hAnsi="Times New Roman" w:cs="Times New Roman"/>
                <w:color w:val="000000"/>
                <w:sz w:val="20"/>
                <w:szCs w:val="20"/>
                <w:lang w:eastAsia="uk-UA" w:bidi="uk-UA"/>
              </w:rPr>
              <w:t>Розроблення проекту закону</w:t>
            </w:r>
            <w:r>
              <w:rPr>
                <w:rFonts w:ascii="Times New Roman" w:eastAsia="Times New Roman" w:hAnsi="Times New Roman" w:cs="Times New Roman"/>
                <w:color w:val="000000"/>
                <w:sz w:val="20"/>
                <w:szCs w:val="20"/>
                <w:lang w:eastAsia="uk-UA" w:bidi="uk-UA"/>
              </w:rPr>
              <w:t>,</w:t>
            </w:r>
            <w:r w:rsidRPr="001648A4">
              <w:rPr>
                <w:rFonts w:ascii="Times New Roman" w:eastAsia="Times New Roman" w:hAnsi="Times New Roman" w:cs="Times New Roman"/>
                <w:color w:val="000000"/>
                <w:sz w:val="20"/>
                <w:szCs w:val="20"/>
                <w:lang w:eastAsia="uk-UA" w:bidi="uk-UA"/>
              </w:rPr>
              <w:t xml:space="preserve"> яким </w:t>
            </w:r>
            <w:r>
              <w:rPr>
                <w:rFonts w:ascii="Times New Roman" w:eastAsia="Times New Roman" w:hAnsi="Times New Roman" w:cs="Times New Roman"/>
                <w:color w:val="000000"/>
                <w:sz w:val="20"/>
                <w:szCs w:val="20"/>
                <w:lang w:eastAsia="uk-UA" w:bidi="uk-UA"/>
              </w:rPr>
              <w:t>визначено:</w:t>
            </w:r>
          </w:p>
          <w:p w14:paraId="56AEE64F" w14:textId="77777777"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 </w:t>
            </w:r>
            <w:r w:rsidRPr="005F14DD">
              <w:rPr>
                <w:rFonts w:ascii="Times New Roman" w:eastAsia="Times New Roman" w:hAnsi="Times New Roman" w:cs="Times New Roman"/>
                <w:color w:val="000000"/>
                <w:sz w:val="20"/>
                <w:szCs w:val="20"/>
                <w:lang w:eastAsia="uk-UA" w:bidi="uk-UA"/>
              </w:rPr>
              <w:t>дієві правила взаємодії посадових осіб</w:t>
            </w:r>
            <w:r>
              <w:rPr>
                <w:rFonts w:ascii="Times New Roman" w:eastAsia="Times New Roman" w:hAnsi="Times New Roman" w:cs="Times New Roman"/>
                <w:color w:val="000000"/>
                <w:sz w:val="20"/>
                <w:szCs w:val="20"/>
                <w:lang w:eastAsia="uk-UA" w:bidi="uk-UA"/>
              </w:rPr>
              <w:t xml:space="preserve"> органів державної влади</w:t>
            </w:r>
            <w:r w:rsidRPr="005F14DD">
              <w:rPr>
                <w:rFonts w:ascii="Times New Roman" w:eastAsia="Times New Roman" w:hAnsi="Times New Roman" w:cs="Times New Roman"/>
                <w:color w:val="000000"/>
                <w:sz w:val="20"/>
                <w:szCs w:val="20"/>
                <w:lang w:eastAsia="uk-UA" w:bidi="uk-UA"/>
              </w:rPr>
              <w:t xml:space="preserve"> із заінтересованими сторонами та суб’єктами впливу (лобістами);</w:t>
            </w:r>
          </w:p>
          <w:p w14:paraId="0EC6450F" w14:textId="77777777"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 прозорі механізми забезпечення впливу на посадових осіб державних органів та органів місцевого самоврядування</w:t>
            </w:r>
            <w:r>
              <w:rPr>
                <w:rFonts w:ascii="Times New Roman" w:eastAsia="Times New Roman" w:hAnsi="Times New Roman" w:cs="Times New Roman"/>
                <w:color w:val="000000"/>
                <w:sz w:val="20"/>
                <w:szCs w:val="20"/>
                <w:lang w:eastAsia="uk-UA" w:bidi="uk-UA"/>
              </w:rPr>
              <w:t>;</w:t>
            </w:r>
          </w:p>
          <w:p w14:paraId="67541A8D" w14:textId="77777777"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 механізми контролю за лобістською діяльністю та орган, уповноважений здійснювати такий контроль;</w:t>
            </w:r>
          </w:p>
          <w:p w14:paraId="208B85B7" w14:textId="77777777" w:rsidR="00B830DA" w:rsidRPr="00855BB6"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 відповідальність за порушення вимог відповідного Закону</w:t>
            </w:r>
            <w:r>
              <w:rPr>
                <w:rFonts w:ascii="Times New Roman" w:eastAsia="Times New Roman" w:hAnsi="Times New Roman" w:cs="Times New Roman"/>
                <w:color w:val="000000"/>
                <w:sz w:val="20"/>
                <w:szCs w:val="20"/>
                <w:lang w:eastAsia="uk-UA" w:bidi="uk-UA"/>
              </w:rPr>
              <w:t>.</w:t>
            </w:r>
          </w:p>
        </w:tc>
        <w:tc>
          <w:tcPr>
            <w:tcW w:w="1093" w:type="dxa"/>
          </w:tcPr>
          <w:p w14:paraId="239585F0" w14:textId="77777777" w:rsidR="00B830DA" w:rsidRPr="00CA6D86" w:rsidRDefault="00B830DA"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 2023р.</w:t>
            </w:r>
          </w:p>
        </w:tc>
        <w:tc>
          <w:tcPr>
            <w:tcW w:w="1034" w:type="dxa"/>
          </w:tcPr>
          <w:p w14:paraId="3A401477"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 2023 р.</w:t>
            </w:r>
          </w:p>
        </w:tc>
        <w:tc>
          <w:tcPr>
            <w:tcW w:w="882" w:type="dxa"/>
          </w:tcPr>
          <w:p w14:paraId="475DEF9F"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НАЗК</w:t>
            </w:r>
          </w:p>
        </w:tc>
        <w:tc>
          <w:tcPr>
            <w:tcW w:w="1360" w:type="dxa"/>
          </w:tcPr>
          <w:p w14:paraId="79BE9128"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1ED3A90A"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3908A1B3"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Законопроект розроблено</w:t>
            </w:r>
          </w:p>
        </w:tc>
        <w:tc>
          <w:tcPr>
            <w:tcW w:w="1172" w:type="dxa"/>
          </w:tcPr>
          <w:p w14:paraId="1B302B4B"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1. Офіційні друковані видання України.</w:t>
            </w:r>
          </w:p>
          <w:p w14:paraId="21F998DE"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 xml:space="preserve">2. Офіційний </w:t>
            </w:r>
            <w:proofErr w:type="spellStart"/>
            <w:r w:rsidRPr="00577289">
              <w:rPr>
                <w:rFonts w:ascii="Times New Roman" w:eastAsia="Times New Roman" w:hAnsi="Times New Roman" w:cs="Times New Roman"/>
                <w:color w:val="000000"/>
                <w:sz w:val="16"/>
                <w:szCs w:val="16"/>
                <w:lang w:eastAsia="uk-UA" w:bidi="uk-UA"/>
              </w:rPr>
              <w:t>вебпортал</w:t>
            </w:r>
            <w:proofErr w:type="spellEnd"/>
            <w:r w:rsidRPr="00577289">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14:paraId="7F6A2E19"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 xml:space="preserve">Законопроект </w:t>
            </w:r>
            <w:r>
              <w:rPr>
                <w:rFonts w:ascii="Times New Roman" w:eastAsia="Times New Roman" w:hAnsi="Times New Roman" w:cs="Times New Roman"/>
                <w:color w:val="000000"/>
                <w:sz w:val="16"/>
                <w:szCs w:val="16"/>
                <w:lang w:eastAsia="uk-UA" w:bidi="uk-UA"/>
              </w:rPr>
              <w:t xml:space="preserve">не </w:t>
            </w:r>
            <w:r w:rsidRPr="00577289">
              <w:rPr>
                <w:rFonts w:ascii="Times New Roman" w:eastAsia="Times New Roman" w:hAnsi="Times New Roman" w:cs="Times New Roman"/>
                <w:color w:val="000000"/>
                <w:sz w:val="16"/>
                <w:szCs w:val="16"/>
                <w:lang w:eastAsia="uk-UA" w:bidi="uk-UA"/>
              </w:rPr>
              <w:t>розроблено</w:t>
            </w:r>
          </w:p>
        </w:tc>
      </w:tr>
      <w:tr w:rsidR="00B830DA" w:rsidRPr="009139CA" w14:paraId="7AA32DA2" w14:textId="77777777" w:rsidTr="009C2ACE">
        <w:trPr>
          <w:trHeight w:val="230"/>
        </w:trPr>
        <w:tc>
          <w:tcPr>
            <w:tcW w:w="5777" w:type="dxa"/>
          </w:tcPr>
          <w:p w14:paraId="2C2ECB07" w14:textId="77777777"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3</w:t>
            </w:r>
            <w:r w:rsidRPr="00E95B48">
              <w:rPr>
                <w:rFonts w:ascii="Times New Roman" w:eastAsia="Times New Roman" w:hAnsi="Times New Roman" w:cs="Times New Roman"/>
                <w:color w:val="000000"/>
                <w:sz w:val="20"/>
                <w:szCs w:val="20"/>
                <w:lang w:eastAsia="uk-UA" w:bidi="uk-UA"/>
              </w:rPr>
              <w:t>. Проведення громадського обговорення пр</w:t>
            </w:r>
            <w:r>
              <w:rPr>
                <w:rFonts w:ascii="Times New Roman" w:eastAsia="Times New Roman" w:hAnsi="Times New Roman" w:cs="Times New Roman"/>
                <w:color w:val="000000"/>
                <w:sz w:val="20"/>
                <w:szCs w:val="20"/>
                <w:lang w:eastAsia="uk-UA" w:bidi="uk-UA"/>
              </w:rPr>
              <w:t xml:space="preserve">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93" w:type="dxa"/>
          </w:tcPr>
          <w:p w14:paraId="1A2F96A0" w14:textId="77777777" w:rsidR="00B830DA" w:rsidRPr="00E95B48"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Жовтень</w:t>
            </w:r>
          </w:p>
          <w:p w14:paraId="2EB22BC1"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2023 р.</w:t>
            </w:r>
          </w:p>
        </w:tc>
        <w:tc>
          <w:tcPr>
            <w:tcW w:w="1034" w:type="dxa"/>
          </w:tcPr>
          <w:p w14:paraId="0445445D" w14:textId="77777777" w:rsidR="00B830DA" w:rsidRPr="00E95B48"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 xml:space="preserve">Листопад </w:t>
            </w:r>
          </w:p>
          <w:p w14:paraId="705C4E91"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2023 р.</w:t>
            </w:r>
          </w:p>
        </w:tc>
        <w:tc>
          <w:tcPr>
            <w:tcW w:w="882" w:type="dxa"/>
          </w:tcPr>
          <w:p w14:paraId="203F0604"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НАЗК</w:t>
            </w:r>
          </w:p>
        </w:tc>
        <w:tc>
          <w:tcPr>
            <w:tcW w:w="1360" w:type="dxa"/>
          </w:tcPr>
          <w:p w14:paraId="2CD68C50"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3DD1B021"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93" w:type="dxa"/>
          </w:tcPr>
          <w:p w14:paraId="305EBE60"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72" w:type="dxa"/>
          </w:tcPr>
          <w:p w14:paraId="3DBA414A"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Офіційний сайт НАЗК (</w:t>
            </w:r>
            <w:hyperlink r:id="rId28" w:history="1">
              <w:r w:rsidRPr="00E95B48">
                <w:rPr>
                  <w:rFonts w:ascii="Times New Roman" w:eastAsia="Times New Roman" w:hAnsi="Times New Roman" w:cs="Times New Roman"/>
                  <w:color w:val="0563C1"/>
                  <w:sz w:val="16"/>
                  <w:szCs w:val="16"/>
                  <w:u w:val="single"/>
                  <w:lang w:eastAsia="uk-UA" w:bidi="uk-UA"/>
                </w:rPr>
                <w:t>https://nazk.gov.ua/uk/</w:t>
              </w:r>
            </w:hyperlink>
            <w:r w:rsidRPr="00E95B48">
              <w:rPr>
                <w:rFonts w:ascii="Times New Roman" w:eastAsia="Times New Roman" w:hAnsi="Times New Roman" w:cs="Times New Roman"/>
                <w:sz w:val="16"/>
                <w:szCs w:val="16"/>
                <w:lang w:eastAsia="uk-UA" w:bidi="uk-UA"/>
              </w:rPr>
              <w:t>)</w:t>
            </w:r>
          </w:p>
        </w:tc>
        <w:tc>
          <w:tcPr>
            <w:tcW w:w="993" w:type="dxa"/>
          </w:tcPr>
          <w:p w14:paraId="2D679A9C"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w:t>
            </w:r>
          </w:p>
        </w:tc>
      </w:tr>
      <w:tr w:rsidR="00B830DA" w:rsidRPr="009139CA" w14:paraId="29851DE4" w14:textId="77777777" w:rsidTr="009C2ACE">
        <w:trPr>
          <w:trHeight w:val="230"/>
        </w:trPr>
        <w:tc>
          <w:tcPr>
            <w:tcW w:w="5777" w:type="dxa"/>
          </w:tcPr>
          <w:p w14:paraId="611A8D52" w14:textId="77777777"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4</w:t>
            </w:r>
            <w:r w:rsidRPr="00E95B48">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93" w:type="dxa"/>
          </w:tcPr>
          <w:p w14:paraId="52AC6B2A"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Грудень</w:t>
            </w:r>
            <w:r>
              <w:rPr>
                <w:rFonts w:ascii="Times New Roman" w:eastAsia="Times New Roman" w:hAnsi="Times New Roman" w:cs="Times New Roman"/>
                <w:color w:val="000000"/>
                <w:sz w:val="16"/>
                <w:szCs w:val="16"/>
                <w:lang w:eastAsia="uk-UA" w:bidi="uk-UA"/>
              </w:rPr>
              <w:t xml:space="preserve"> </w:t>
            </w:r>
            <w:r w:rsidRPr="00E95B48">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E95B48">
              <w:rPr>
                <w:rFonts w:ascii="Times New Roman" w:eastAsia="Times New Roman" w:hAnsi="Times New Roman" w:cs="Times New Roman"/>
                <w:color w:val="000000"/>
                <w:sz w:val="16"/>
                <w:szCs w:val="16"/>
                <w:lang w:eastAsia="uk-UA" w:bidi="uk-UA"/>
              </w:rPr>
              <w:t>р.</w:t>
            </w:r>
          </w:p>
        </w:tc>
        <w:tc>
          <w:tcPr>
            <w:tcW w:w="1034" w:type="dxa"/>
          </w:tcPr>
          <w:p w14:paraId="3B980512" w14:textId="77777777" w:rsidR="00B830DA" w:rsidRPr="00E95B48"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Січень</w:t>
            </w:r>
          </w:p>
          <w:p w14:paraId="52076312"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2024 р.</w:t>
            </w:r>
          </w:p>
        </w:tc>
        <w:tc>
          <w:tcPr>
            <w:tcW w:w="882" w:type="dxa"/>
          </w:tcPr>
          <w:p w14:paraId="00709A16"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НАЗК, заінтересовані органи</w:t>
            </w:r>
          </w:p>
        </w:tc>
        <w:tc>
          <w:tcPr>
            <w:tcW w:w="1360" w:type="dxa"/>
          </w:tcPr>
          <w:p w14:paraId="7AD3EAB9"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2EE0A5E8"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7B498D78"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172" w:type="dxa"/>
          </w:tcPr>
          <w:p w14:paraId="4FC52CC7" w14:textId="77777777" w:rsidR="00B830DA" w:rsidRPr="00E95B48"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1. СКМУ.</w:t>
            </w:r>
          </w:p>
          <w:p w14:paraId="5A53B59E" w14:textId="77777777" w:rsidR="00B830DA" w:rsidRPr="009139CA"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 xml:space="preserve">2. Офіційний </w:t>
            </w:r>
            <w:proofErr w:type="spellStart"/>
            <w:r w:rsidRPr="00E95B48">
              <w:rPr>
                <w:rFonts w:ascii="Times New Roman" w:eastAsia="Times New Roman" w:hAnsi="Times New Roman" w:cs="Times New Roman"/>
                <w:color w:val="000000"/>
                <w:sz w:val="16"/>
                <w:szCs w:val="16"/>
                <w:lang w:eastAsia="uk-UA" w:bidi="uk-UA"/>
              </w:rPr>
              <w:t>вебпортал</w:t>
            </w:r>
            <w:proofErr w:type="spellEnd"/>
            <w:r w:rsidRPr="00E95B48">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3" w:type="dxa"/>
          </w:tcPr>
          <w:p w14:paraId="586B5ABE"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w:t>
            </w:r>
          </w:p>
        </w:tc>
      </w:tr>
      <w:tr w:rsidR="00B830DA" w:rsidRPr="009139CA" w14:paraId="22526F34" w14:textId="77777777" w:rsidTr="009C2ACE">
        <w:trPr>
          <w:trHeight w:val="230"/>
        </w:trPr>
        <w:tc>
          <w:tcPr>
            <w:tcW w:w="5777" w:type="dxa"/>
          </w:tcPr>
          <w:p w14:paraId="72D878C2" w14:textId="77777777"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5</w:t>
            </w:r>
            <w:r w:rsidRPr="00E95B48">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93" w:type="dxa"/>
          </w:tcPr>
          <w:p w14:paraId="759DAEDF"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Лютий  2024</w:t>
            </w:r>
            <w:r>
              <w:rPr>
                <w:rFonts w:ascii="Times New Roman" w:eastAsia="Times New Roman" w:hAnsi="Times New Roman" w:cs="Times New Roman"/>
                <w:sz w:val="16"/>
                <w:szCs w:val="16"/>
                <w:lang w:eastAsia="uk-UA" w:bidi="uk-UA"/>
              </w:rPr>
              <w:t> </w:t>
            </w:r>
            <w:r w:rsidRPr="00E95B48">
              <w:rPr>
                <w:rFonts w:ascii="Times New Roman" w:eastAsia="Times New Roman" w:hAnsi="Times New Roman" w:cs="Times New Roman"/>
                <w:sz w:val="16"/>
                <w:szCs w:val="16"/>
                <w:lang w:eastAsia="uk-UA" w:bidi="uk-UA"/>
              </w:rPr>
              <w:t>р.</w:t>
            </w:r>
          </w:p>
        </w:tc>
        <w:tc>
          <w:tcPr>
            <w:tcW w:w="1034" w:type="dxa"/>
          </w:tcPr>
          <w:p w14:paraId="3D4A9FB7"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До підписання закону Президентом України</w:t>
            </w:r>
          </w:p>
        </w:tc>
        <w:tc>
          <w:tcPr>
            <w:tcW w:w="882" w:type="dxa"/>
          </w:tcPr>
          <w:p w14:paraId="72DE0F50"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НАЗК</w:t>
            </w:r>
          </w:p>
        </w:tc>
        <w:tc>
          <w:tcPr>
            <w:tcW w:w="1360" w:type="dxa"/>
          </w:tcPr>
          <w:p w14:paraId="4BFE561D"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773A7FA8"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93" w:type="dxa"/>
          </w:tcPr>
          <w:p w14:paraId="1A404A2B"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Закон підписано Президентом України</w:t>
            </w:r>
          </w:p>
        </w:tc>
        <w:tc>
          <w:tcPr>
            <w:tcW w:w="1172" w:type="dxa"/>
          </w:tcPr>
          <w:p w14:paraId="2F6A0A18" w14:textId="77777777" w:rsidR="00B830DA" w:rsidRPr="00577289" w:rsidRDefault="00B830DA" w:rsidP="007F29E1">
            <w:pPr>
              <w:ind w:left="-73" w:right="-45"/>
              <w:jc w:val="center"/>
              <w:rPr>
                <w:rFonts w:ascii="Times New Roman" w:eastAsia="Times New Roman" w:hAnsi="Times New Roman" w:cs="Times New Roman"/>
                <w:sz w:val="16"/>
                <w:szCs w:val="16"/>
                <w:lang w:eastAsia="uk-UA" w:bidi="uk-UA"/>
              </w:rPr>
            </w:pPr>
            <w:r w:rsidRPr="00577289">
              <w:rPr>
                <w:rFonts w:ascii="Times New Roman" w:eastAsia="Times New Roman" w:hAnsi="Times New Roman" w:cs="Times New Roman"/>
                <w:sz w:val="16"/>
                <w:szCs w:val="16"/>
                <w:lang w:eastAsia="uk-UA" w:bidi="uk-UA"/>
              </w:rPr>
              <w:t>1.</w:t>
            </w:r>
            <w:r w:rsidRPr="00E95B48">
              <w:rPr>
                <w:rFonts w:ascii="Times New Roman" w:eastAsia="Times New Roman" w:hAnsi="Times New Roman" w:cs="Times New Roman"/>
                <w:sz w:val="16"/>
                <w:szCs w:val="16"/>
                <w:lang w:eastAsia="uk-UA" w:bidi="uk-UA"/>
              </w:rPr>
              <w:t> </w:t>
            </w:r>
            <w:r w:rsidRPr="00577289">
              <w:rPr>
                <w:rFonts w:ascii="Times New Roman" w:eastAsia="Times New Roman" w:hAnsi="Times New Roman" w:cs="Times New Roman"/>
                <w:sz w:val="16"/>
                <w:szCs w:val="16"/>
                <w:lang w:eastAsia="uk-UA" w:bidi="uk-UA"/>
              </w:rPr>
              <w:t>Офіційні друковані видання України.</w:t>
            </w:r>
          </w:p>
          <w:p w14:paraId="12121695" w14:textId="77777777" w:rsidR="00B830DA" w:rsidRPr="009139CA"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 xml:space="preserve">2. Офіційний </w:t>
            </w:r>
            <w:proofErr w:type="spellStart"/>
            <w:r w:rsidRPr="00E95B48">
              <w:rPr>
                <w:rFonts w:ascii="Times New Roman" w:eastAsia="Times New Roman" w:hAnsi="Times New Roman" w:cs="Times New Roman"/>
                <w:sz w:val="16"/>
                <w:szCs w:val="16"/>
                <w:lang w:eastAsia="uk-UA" w:bidi="uk-UA"/>
              </w:rPr>
              <w:t>вебпортал</w:t>
            </w:r>
            <w:proofErr w:type="spellEnd"/>
            <w:r w:rsidRPr="00E95B48">
              <w:rPr>
                <w:rFonts w:ascii="Times New Roman" w:eastAsia="Times New Roman" w:hAnsi="Times New Roman" w:cs="Times New Roman"/>
                <w:sz w:val="16"/>
                <w:szCs w:val="16"/>
                <w:lang w:eastAsia="uk-UA" w:bidi="uk-UA"/>
              </w:rPr>
              <w:t xml:space="preserve"> парламенту України </w:t>
            </w:r>
            <w:r w:rsidRPr="00E95B48">
              <w:rPr>
                <w:rFonts w:ascii="Times New Roman" w:eastAsia="Times New Roman" w:hAnsi="Times New Roman" w:cs="Times New Roman"/>
                <w:sz w:val="16"/>
                <w:szCs w:val="16"/>
                <w:lang w:eastAsia="uk-UA" w:bidi="uk-UA"/>
              </w:rPr>
              <w:lastRenderedPageBreak/>
              <w:t>(https://www.rada.gov.ua/)</w:t>
            </w:r>
          </w:p>
        </w:tc>
        <w:tc>
          <w:tcPr>
            <w:tcW w:w="993" w:type="dxa"/>
          </w:tcPr>
          <w:p w14:paraId="5AF92021"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lastRenderedPageBreak/>
              <w:t>-</w:t>
            </w:r>
          </w:p>
        </w:tc>
      </w:tr>
    </w:tbl>
    <w:p w14:paraId="592F4975" w14:textId="02EB3B10" w:rsidR="00B830DA" w:rsidRDefault="00B830DA"/>
    <w:p w14:paraId="154596E7" w14:textId="77777777" w:rsidR="00B830DA" w:rsidRDefault="00B830DA">
      <w:r>
        <w:br w:type="page"/>
      </w:r>
    </w:p>
    <w:p w14:paraId="7F671A2D" w14:textId="16F17A32" w:rsidR="00B830DA" w:rsidRPr="00B830DA" w:rsidRDefault="007E5A37" w:rsidP="00B830DA">
      <w:pPr>
        <w:widowControl w:val="0"/>
        <w:tabs>
          <w:tab w:val="left" w:pos="1274"/>
        </w:tabs>
        <w:spacing w:line="240" w:lineRule="auto"/>
        <w:ind w:firstLine="567"/>
        <w:jc w:val="both"/>
        <w:rPr>
          <w:rFonts w:ascii="Times New Roman" w:eastAsia="Times New Roman" w:hAnsi="Times New Roman" w:cs="Times New Roman"/>
          <w:b/>
          <w:bCs/>
          <w:color w:val="000000"/>
          <w:sz w:val="24"/>
          <w:szCs w:val="24"/>
          <w:lang w:eastAsia="uk-UA" w:bidi="uk-UA"/>
        </w:rPr>
      </w:pPr>
      <w:bookmarkStart w:id="3" w:name="_Hlk113102625"/>
      <w:bookmarkStart w:id="4" w:name="_Hlk112849722"/>
      <w:r>
        <w:rPr>
          <w:rFonts w:ascii="Times New Roman" w:hAnsi="Times New Roman" w:cs="Times New Roman"/>
          <w:b/>
          <w:sz w:val="24"/>
          <w:szCs w:val="24"/>
        </w:rPr>
        <w:lastRenderedPageBreak/>
        <w:t>1.3.4. </w:t>
      </w:r>
      <w:r w:rsidR="00B830DA" w:rsidRPr="00B830DA">
        <w:rPr>
          <w:rFonts w:ascii="Times New Roman" w:hAnsi="Times New Roman" w:cs="Times New Roman"/>
          <w:b/>
          <w:sz w:val="24"/>
          <w:szCs w:val="24"/>
        </w:rPr>
        <w:t xml:space="preserve">Проблема. </w:t>
      </w:r>
      <w:r w:rsidR="00B830DA" w:rsidRPr="00B830DA">
        <w:rPr>
          <w:rFonts w:ascii="Times New Roman" w:eastAsia="Times New Roman" w:hAnsi="Times New Roman" w:cs="Times New Roman"/>
          <w:b/>
          <w:bCs/>
          <w:color w:val="000000"/>
          <w:sz w:val="24"/>
          <w:szCs w:val="24"/>
          <w:lang w:eastAsia="uk-UA" w:bidi="uk-UA"/>
        </w:rPr>
        <w:t>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bookmarkEnd w:id="3"/>
    </w:p>
    <w:p w14:paraId="31642D41"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 xml:space="preserve">Дотримання народними депутатами, депутатами місцевих рад, виборними посадовими особами місцевого самоврядування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та забезпечує встановлення зворотного зв’язку між суспільством та його обранцями. </w:t>
      </w:r>
    </w:p>
    <w:p w14:paraId="6B28E8A8"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Крім того, вимогами міжнародних актів</w:t>
      </w:r>
      <w:r w:rsidRPr="00B830DA">
        <w:rPr>
          <w:rFonts w:ascii="Times New Roman" w:eastAsia="Times New Roman" w:hAnsi="Times New Roman" w:cs="Times New Roman"/>
          <w:color w:val="000000"/>
          <w:sz w:val="24"/>
          <w:szCs w:val="24"/>
          <w:vertAlign w:val="superscript"/>
          <w:lang w:eastAsia="uk-UA" w:bidi="uk-UA"/>
        </w:rPr>
        <w:footnoteReference w:id="1"/>
      </w:r>
      <w:r w:rsidRPr="00B830DA">
        <w:rPr>
          <w:rFonts w:ascii="Times New Roman" w:eastAsia="Times New Roman" w:hAnsi="Times New Roman" w:cs="Times New Roman"/>
          <w:color w:val="000000"/>
          <w:sz w:val="24"/>
          <w:szCs w:val="24"/>
          <w:lang w:eastAsia="uk-UA" w:bidi="uk-UA"/>
        </w:rPr>
        <w:t>, рекомендаціями Групи держав проти корупції (GRECO) в межах четвертого раунду оцінювання «Запобігання корупції серед народних депутатів, суддів та прокурорів»</w:t>
      </w:r>
      <w:r w:rsidRPr="00B830DA">
        <w:rPr>
          <w:rFonts w:ascii="Times New Roman" w:eastAsia="Times New Roman" w:hAnsi="Times New Roman" w:cs="Times New Roman"/>
          <w:color w:val="000000"/>
          <w:sz w:val="24"/>
          <w:szCs w:val="24"/>
          <w:vertAlign w:val="superscript"/>
          <w:lang w:eastAsia="uk-UA" w:bidi="uk-UA"/>
        </w:rPr>
        <w:footnoteReference w:id="2"/>
      </w:r>
      <w:r w:rsidRPr="00B830DA">
        <w:rPr>
          <w:rFonts w:ascii="Times New Roman" w:eastAsia="Times New Roman" w:hAnsi="Times New Roman" w:cs="Times New Roman"/>
          <w:color w:val="000000"/>
          <w:sz w:val="24"/>
          <w:szCs w:val="24"/>
          <w:lang w:eastAsia="uk-UA" w:bidi="uk-UA"/>
        </w:rPr>
        <w:t>, рекомендаціями за результатами роботи у 2015-2016 роках спеціальної Місії Європейського парламенту</w:t>
      </w:r>
      <w:r w:rsidRPr="00B830DA">
        <w:rPr>
          <w:rFonts w:ascii="Times New Roman" w:eastAsia="Times New Roman" w:hAnsi="Times New Roman" w:cs="Times New Roman"/>
          <w:color w:val="000000"/>
          <w:sz w:val="24"/>
          <w:szCs w:val="24"/>
          <w:vertAlign w:val="superscript"/>
          <w:lang w:eastAsia="uk-UA" w:bidi="uk-UA"/>
        </w:rPr>
        <w:footnoteReference w:id="3"/>
      </w:r>
      <w:r w:rsidRPr="00B830DA">
        <w:rPr>
          <w:rFonts w:ascii="Times New Roman" w:eastAsia="Times New Roman" w:hAnsi="Times New Roman" w:cs="Times New Roman"/>
          <w:color w:val="000000"/>
          <w:sz w:val="24"/>
          <w:szCs w:val="24"/>
          <w:lang w:eastAsia="uk-UA" w:bidi="uk-UA"/>
        </w:rPr>
        <w:t xml:space="preserve"> передбачено необхідність прийняття кодифікованих актів, які регламентують правила етичної поведінки.</w:t>
      </w:r>
    </w:p>
    <w:p w14:paraId="1B727144"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положення яких мають недоліки, зокрема, декларативний характер певних норм, відсутність норм, які передбачають правила етичної поведінки на засіданнях комітетів, офіційних заходах, під час контактів з пресою тощо, відсутність достатніх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w:t>
      </w:r>
    </w:p>
    <w:p w14:paraId="106FF77A"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Більше того,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є інститутом, рівень довіри населення України до якого є низьким,</w:t>
      </w:r>
      <w:r w:rsidRPr="00B830DA">
        <w:rPr>
          <w:rFonts w:ascii="Times New Roman" w:eastAsia="Times New Roman" w:hAnsi="Times New Roman" w:cs="Times New Roman"/>
          <w:color w:val="000000"/>
          <w:sz w:val="24"/>
          <w:szCs w:val="24"/>
          <w:vertAlign w:val="superscript"/>
          <w:lang w:eastAsia="uk-UA" w:bidi="uk-UA"/>
        </w:rPr>
        <w:footnoteReference w:id="4"/>
      </w:r>
      <w:r w:rsidRPr="00B830DA">
        <w:rPr>
          <w:rFonts w:ascii="Times New Roman" w:eastAsia="Times New Roman" w:hAnsi="Times New Roman" w:cs="Times New Roman"/>
          <w:color w:val="000000"/>
          <w:sz w:val="24"/>
          <w:szCs w:val="24"/>
          <w:lang w:eastAsia="uk-UA" w:bidi="uk-UA"/>
        </w:rPr>
        <w:t xml:space="preserve"> а</w:t>
      </w:r>
      <w:bookmarkStart w:id="5" w:name="_Hlk115082954"/>
      <w:r w:rsidRPr="00B830DA">
        <w:rPr>
          <w:rFonts w:ascii="Times New Roman" w:eastAsia="Times New Roman" w:hAnsi="Times New Roman" w:cs="Times New Roman"/>
          <w:color w:val="000000"/>
          <w:sz w:val="24"/>
          <w:szCs w:val="24"/>
          <w:lang w:eastAsia="uk-UA" w:bidi="uk-UA"/>
        </w:rPr>
        <w:t xml:space="preserve"> дотримання депутатами Верховної Ради України норм депутатської етики отримало негативну суспільну оцінку.</w:t>
      </w:r>
      <w:bookmarkEnd w:id="5"/>
      <w:r w:rsidRPr="00B830DA">
        <w:rPr>
          <w:rFonts w:ascii="Times New Roman" w:eastAsia="Times New Roman" w:hAnsi="Times New Roman" w:cs="Times New Roman"/>
          <w:color w:val="000000"/>
          <w:sz w:val="24"/>
          <w:szCs w:val="24"/>
          <w:vertAlign w:val="superscript"/>
          <w:lang w:eastAsia="uk-UA" w:bidi="uk-UA"/>
        </w:rPr>
        <w:footnoteReference w:id="5"/>
      </w:r>
      <w:r w:rsidRPr="00B830DA">
        <w:rPr>
          <w:rFonts w:ascii="Times New Roman" w:eastAsia="Times New Roman" w:hAnsi="Times New Roman" w:cs="Times New Roman"/>
          <w:color w:val="000000"/>
          <w:sz w:val="24"/>
          <w:szCs w:val="24"/>
          <w:lang w:eastAsia="uk-UA" w:bidi="uk-UA"/>
        </w:rPr>
        <w:t xml:space="preserve"> </w:t>
      </w:r>
    </w:p>
    <w:p w14:paraId="3275B885"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Також відсутній на сьогодні дієвий механізм моніторингу та забезпечення виконання відповідних правил етичної поведінки, що передбачає, зокрема, подання та розгляд скарг, порядок застосування санкцій за порушення правил етичної поведінки тощо, що є важливою запорукою громадської довіри до народних обранців.</w:t>
      </w:r>
    </w:p>
    <w:p w14:paraId="69349ECE"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Обов’язок дотримуватися правил етичної поведінки покладено й на інших, окрім виборних осіб, посадовців, переважну частину з яких становлять державні службовці.</w:t>
      </w:r>
    </w:p>
    <w:p w14:paraId="22BD3288" w14:textId="77777777" w:rsidR="00B830DA" w:rsidRPr="00B830DA" w:rsidRDefault="00B830DA" w:rsidP="00B830DA">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uk-UA" w:bidi="uk-UA"/>
        </w:rPr>
      </w:pPr>
      <w:r w:rsidRPr="00B830DA">
        <w:rPr>
          <w:rFonts w:ascii="Times New Roman" w:eastAsia="Times New Roman" w:hAnsi="Times New Roman" w:cs="Times New Roman"/>
          <w:sz w:val="24"/>
          <w:szCs w:val="24"/>
          <w:shd w:val="clear" w:color="auto" w:fill="FFFFFF"/>
          <w:lang w:eastAsia="uk-UA" w:bidi="uk-UA"/>
        </w:rPr>
        <w:lastRenderedPageBreak/>
        <w:t>Практика засвідчила, що 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інформацію, яка потребує перевірки, надсилає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відповідальності державного службовця належать до сфери повноважень саме керівника державної служби</w:t>
      </w:r>
      <w:r w:rsidRPr="00B830DA">
        <w:rPr>
          <w:rFonts w:ascii="Times New Roman" w:eastAsia="Times New Roman" w:hAnsi="Times New Roman" w:cs="Times New Roman"/>
          <w:sz w:val="24"/>
          <w:szCs w:val="24"/>
          <w:shd w:val="clear" w:color="auto" w:fill="FFFFFF"/>
          <w:vertAlign w:val="superscript"/>
          <w:lang w:eastAsia="uk-UA" w:bidi="uk-UA"/>
        </w:rPr>
        <w:footnoteReference w:id="6"/>
      </w:r>
      <w:r w:rsidRPr="00B830DA">
        <w:rPr>
          <w:rFonts w:ascii="Times New Roman" w:eastAsia="Times New Roman" w:hAnsi="Times New Roman" w:cs="Times New Roman"/>
          <w:sz w:val="24"/>
          <w:szCs w:val="24"/>
          <w:shd w:val="clear" w:color="auto" w:fill="FFFFFF"/>
          <w:lang w:eastAsia="uk-UA" w:bidi="uk-UA"/>
        </w:rPr>
        <w:t>.</w:t>
      </w:r>
    </w:p>
    <w:p w14:paraId="26EDF8BC" w14:textId="45D8894C" w:rsidR="00B830DA" w:rsidRPr="007E5A37" w:rsidRDefault="00B830DA" w:rsidP="007E5A37">
      <w:pPr>
        <w:shd w:val="clear" w:color="auto" w:fill="FFFFFF"/>
        <w:spacing w:line="240" w:lineRule="auto"/>
        <w:ind w:firstLine="567"/>
        <w:jc w:val="both"/>
        <w:rPr>
          <w:rFonts w:ascii="Times New Roman" w:eastAsia="Times New Roman" w:hAnsi="Times New Roman" w:cs="Times New Roman"/>
          <w:sz w:val="24"/>
          <w:szCs w:val="24"/>
          <w:lang w:eastAsia="uk-UA" w:bidi="uk-UA"/>
        </w:rPr>
      </w:pPr>
      <w:r w:rsidRPr="00B830DA">
        <w:rPr>
          <w:rFonts w:ascii="Times New Roman" w:eastAsia="Times New Roman" w:hAnsi="Times New Roman" w:cs="Times New Roman"/>
          <w:sz w:val="24"/>
          <w:szCs w:val="24"/>
          <w:lang w:eastAsia="uk-UA" w:bidi="uk-UA"/>
        </w:rPr>
        <w:t>Невжиття відповідними керівниками заходів щодо притягнення до дисциплінарної відповідальності підлеглих за порушення правил етичної поведінки має зумовлювати реальні негативні наслідки для таких керівників.</w:t>
      </w:r>
    </w:p>
    <w:tbl>
      <w:tblPr>
        <w:tblStyle w:val="a3"/>
        <w:tblW w:w="15163" w:type="dxa"/>
        <w:tblLayout w:type="fixed"/>
        <w:tblLook w:val="04A0" w:firstRow="1" w:lastRow="0" w:firstColumn="1" w:lastColumn="0" w:noHBand="0" w:noVBand="1"/>
      </w:tblPr>
      <w:tblGrid>
        <w:gridCol w:w="2494"/>
        <w:gridCol w:w="8133"/>
        <w:gridCol w:w="1468"/>
        <w:gridCol w:w="1664"/>
        <w:gridCol w:w="1404"/>
      </w:tblGrid>
      <w:tr w:rsidR="00B830DA" w:rsidRPr="00B830DA" w14:paraId="0478A351" w14:textId="77777777" w:rsidTr="009C2ACE">
        <w:tc>
          <w:tcPr>
            <w:tcW w:w="2494" w:type="dxa"/>
            <w:shd w:val="clear" w:color="auto" w:fill="E2EFD9" w:themeFill="accent6" w:themeFillTint="33"/>
            <w:vAlign w:val="center"/>
          </w:tcPr>
          <w:p w14:paraId="126C02B7" w14:textId="77777777" w:rsidR="00B830DA" w:rsidRPr="00B830DA" w:rsidRDefault="00B830DA" w:rsidP="00B830DA">
            <w:pPr>
              <w:tabs>
                <w:tab w:val="left" w:pos="4395"/>
              </w:tabs>
              <w:ind w:firstLine="34"/>
              <w:jc w:val="center"/>
              <w:rPr>
                <w:rFonts w:ascii="Times New Roman" w:hAnsi="Times New Roman" w:cs="Times New Roman"/>
                <w:b/>
                <w:sz w:val="20"/>
                <w:szCs w:val="20"/>
                <w:lang w:bidi="uk-UA"/>
              </w:rPr>
            </w:pPr>
            <w:r w:rsidRPr="00B830DA">
              <w:rPr>
                <w:rFonts w:ascii="Times New Roman" w:hAnsi="Times New Roman" w:cs="Times New Roman"/>
                <w:b/>
                <w:sz w:val="20"/>
                <w:szCs w:val="20"/>
                <w:lang w:bidi="uk-UA"/>
              </w:rPr>
              <w:t>Очікуваний</w:t>
            </w:r>
          </w:p>
          <w:p w14:paraId="54B0E5B8" w14:textId="77777777" w:rsidR="00B830DA" w:rsidRPr="00B830DA" w:rsidRDefault="00B830DA" w:rsidP="00B830DA">
            <w:pPr>
              <w:tabs>
                <w:tab w:val="left" w:pos="4395"/>
              </w:tabs>
              <w:ind w:firstLine="34"/>
              <w:jc w:val="center"/>
              <w:rPr>
                <w:rFonts w:ascii="Times New Roman" w:hAnsi="Times New Roman" w:cs="Times New Roman"/>
                <w:b/>
                <w:sz w:val="20"/>
                <w:szCs w:val="20"/>
                <w:lang w:bidi="uk-UA"/>
              </w:rPr>
            </w:pPr>
            <w:r w:rsidRPr="00B830DA">
              <w:rPr>
                <w:rFonts w:ascii="Times New Roman" w:hAnsi="Times New Roman" w:cs="Times New Roman"/>
                <w:b/>
                <w:sz w:val="20"/>
                <w:szCs w:val="20"/>
                <w:lang w:bidi="uk-UA"/>
              </w:rPr>
              <w:t>стратегічний результат</w:t>
            </w:r>
          </w:p>
        </w:tc>
        <w:tc>
          <w:tcPr>
            <w:tcW w:w="8133" w:type="dxa"/>
            <w:shd w:val="clear" w:color="auto" w:fill="E2EFD9" w:themeFill="accent6" w:themeFillTint="33"/>
            <w:vAlign w:val="center"/>
          </w:tcPr>
          <w:p w14:paraId="2169A960" w14:textId="77777777" w:rsidR="00B830DA" w:rsidRPr="00B830DA" w:rsidRDefault="00B830DA" w:rsidP="00B830DA">
            <w:pPr>
              <w:tabs>
                <w:tab w:val="left" w:pos="4395"/>
              </w:tabs>
              <w:jc w:val="center"/>
              <w:rPr>
                <w:rFonts w:ascii="Times New Roman" w:hAnsi="Times New Roman" w:cs="Times New Roman"/>
                <w:sz w:val="20"/>
                <w:szCs w:val="20"/>
                <w:lang w:bidi="uk-UA"/>
              </w:rPr>
            </w:pPr>
            <w:r w:rsidRPr="00B830DA">
              <w:rPr>
                <w:rFonts w:ascii="Times New Roman" w:hAnsi="Times New Roman" w:cs="Times New Roman"/>
                <w:b/>
                <w:sz w:val="20"/>
                <w:szCs w:val="20"/>
              </w:rPr>
              <w:t>Показник (індикатор) досягнення</w:t>
            </w:r>
          </w:p>
        </w:tc>
        <w:tc>
          <w:tcPr>
            <w:tcW w:w="1468" w:type="dxa"/>
            <w:shd w:val="clear" w:color="auto" w:fill="E2EFD9"/>
            <w:vAlign w:val="center"/>
          </w:tcPr>
          <w:p w14:paraId="6D938012" w14:textId="77777777" w:rsidR="00B830DA" w:rsidRPr="00B830DA" w:rsidRDefault="00B830DA" w:rsidP="00B830DA">
            <w:pPr>
              <w:tabs>
                <w:tab w:val="left" w:pos="4395"/>
              </w:tabs>
              <w:jc w:val="center"/>
              <w:rPr>
                <w:rFonts w:ascii="Times New Roman" w:hAnsi="Times New Roman" w:cs="Times New Roman"/>
                <w:b/>
                <w:sz w:val="20"/>
                <w:szCs w:val="20"/>
              </w:rPr>
            </w:pPr>
            <w:r w:rsidRPr="00B830DA">
              <w:rPr>
                <w:rFonts w:ascii="Times New Roman" w:hAnsi="Times New Roman" w:cs="Times New Roman"/>
                <w:b/>
                <w:sz w:val="20"/>
                <w:szCs w:val="20"/>
              </w:rPr>
              <w:t>Частка</w:t>
            </w:r>
          </w:p>
          <w:p w14:paraId="4EA51538" w14:textId="77777777" w:rsidR="00B830DA" w:rsidRPr="00B830DA" w:rsidRDefault="00B830DA" w:rsidP="00B830DA">
            <w:pPr>
              <w:tabs>
                <w:tab w:val="left" w:pos="4395"/>
              </w:tabs>
              <w:jc w:val="center"/>
              <w:rPr>
                <w:rFonts w:ascii="Times New Roman" w:hAnsi="Times New Roman" w:cs="Times New Roman"/>
                <w:b/>
                <w:sz w:val="20"/>
                <w:szCs w:val="20"/>
              </w:rPr>
            </w:pPr>
            <w:r w:rsidRPr="00B830DA">
              <w:rPr>
                <w:rFonts w:ascii="Times New Roman" w:hAnsi="Times New Roman" w:cs="Times New Roman"/>
                <w:b/>
                <w:i/>
                <w:sz w:val="20"/>
                <w:szCs w:val="20"/>
              </w:rPr>
              <w:t>(у %)</w:t>
            </w:r>
          </w:p>
        </w:tc>
        <w:tc>
          <w:tcPr>
            <w:tcW w:w="1664" w:type="dxa"/>
            <w:shd w:val="clear" w:color="auto" w:fill="E2EFD9"/>
            <w:vAlign w:val="center"/>
          </w:tcPr>
          <w:p w14:paraId="2E2BE7BA" w14:textId="77777777" w:rsidR="00B830DA" w:rsidRPr="00B830DA" w:rsidRDefault="00B830DA" w:rsidP="00B830DA">
            <w:pPr>
              <w:tabs>
                <w:tab w:val="left" w:pos="4395"/>
              </w:tabs>
              <w:ind w:firstLine="4"/>
              <w:jc w:val="center"/>
              <w:rPr>
                <w:rFonts w:ascii="Times New Roman" w:hAnsi="Times New Roman" w:cs="Times New Roman"/>
                <w:b/>
                <w:sz w:val="20"/>
                <w:szCs w:val="20"/>
              </w:rPr>
            </w:pPr>
            <w:r w:rsidRPr="00B830DA">
              <w:rPr>
                <w:rFonts w:ascii="Times New Roman" w:hAnsi="Times New Roman" w:cs="Times New Roman"/>
                <w:b/>
                <w:sz w:val="20"/>
                <w:szCs w:val="20"/>
              </w:rPr>
              <w:t>Джерело даних</w:t>
            </w:r>
          </w:p>
        </w:tc>
        <w:tc>
          <w:tcPr>
            <w:tcW w:w="1404" w:type="dxa"/>
            <w:tcBorders>
              <w:top w:val="single" w:sz="4" w:space="0" w:color="auto"/>
              <w:left w:val="single" w:sz="4" w:space="0" w:color="auto"/>
              <w:right w:val="single" w:sz="4" w:space="0" w:color="auto"/>
            </w:tcBorders>
            <w:shd w:val="clear" w:color="auto" w:fill="E2EFD9"/>
            <w:vAlign w:val="center"/>
          </w:tcPr>
          <w:p w14:paraId="65659100" w14:textId="77777777" w:rsidR="00B830DA" w:rsidRPr="00B830DA" w:rsidRDefault="00B830DA" w:rsidP="00B830DA">
            <w:pPr>
              <w:tabs>
                <w:tab w:val="left" w:pos="4395"/>
              </w:tabs>
              <w:ind w:firstLine="37"/>
              <w:jc w:val="center"/>
              <w:rPr>
                <w:rFonts w:ascii="Times New Roman" w:hAnsi="Times New Roman" w:cs="Times New Roman"/>
                <w:b/>
                <w:sz w:val="20"/>
                <w:szCs w:val="20"/>
              </w:rPr>
            </w:pPr>
            <w:r w:rsidRPr="00B830DA">
              <w:rPr>
                <w:rFonts w:ascii="Times New Roman" w:hAnsi="Times New Roman" w:cs="Times New Roman"/>
                <w:b/>
                <w:sz w:val="20"/>
                <w:szCs w:val="20"/>
              </w:rPr>
              <w:t>Базовий показник</w:t>
            </w:r>
          </w:p>
        </w:tc>
      </w:tr>
      <w:tr w:rsidR="00B830DA" w:rsidRPr="00B830DA" w14:paraId="72C8584F" w14:textId="77777777" w:rsidTr="009C2ACE">
        <w:tc>
          <w:tcPr>
            <w:tcW w:w="2494" w:type="dxa"/>
            <w:vMerge w:val="restart"/>
          </w:tcPr>
          <w:p w14:paraId="231E06A3"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c>
          <w:tcPr>
            <w:tcW w:w="8133" w:type="dxa"/>
          </w:tcPr>
          <w:p w14:paraId="51F15522"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bidi="uk-UA"/>
              </w:rPr>
              <w:t>1. Набрав чинності Закон, яким, зокрема:</w:t>
            </w:r>
          </w:p>
          <w:p w14:paraId="325BE2DA" w14:textId="77777777" w:rsidR="00B830DA" w:rsidRPr="007F29E1" w:rsidRDefault="00B830DA" w:rsidP="007F29E1">
            <w:pPr>
              <w:tabs>
                <w:tab w:val="left" w:pos="4395"/>
              </w:tabs>
              <w:ind w:firstLine="284"/>
              <w:contextualSpacing/>
              <w:jc w:val="both"/>
              <w:rPr>
                <w:rFonts w:ascii="Times New Roman" w:hAnsi="Times New Roman" w:cs="Times New Roman"/>
                <w:sz w:val="16"/>
                <w:szCs w:val="20"/>
                <w:lang w:bidi="uk-UA"/>
              </w:rPr>
            </w:pPr>
            <w:r w:rsidRPr="007F29E1">
              <w:rPr>
                <w:rFonts w:ascii="Times New Roman" w:hAnsi="Times New Roman" w:cs="Times New Roman"/>
                <w:sz w:val="16"/>
                <w:szCs w:val="20"/>
                <w:lang w:bidi="uk-UA"/>
              </w:rPr>
              <w:t>- закріплено систематизовані, дієві правила етичної поведінки народних депутатів України, які охоплюють всі сфери їх професійної діяльності (25 %);</w:t>
            </w:r>
          </w:p>
          <w:p w14:paraId="0A1A9572"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16"/>
                <w:szCs w:val="20"/>
                <w:lang w:bidi="uk-UA"/>
              </w:rPr>
              <w:t>- передбачено механізми притягнення до відповідальності за порушення правил етичної поведінки народних депутатів України (20 %).</w:t>
            </w:r>
          </w:p>
        </w:tc>
        <w:tc>
          <w:tcPr>
            <w:tcW w:w="1468" w:type="dxa"/>
          </w:tcPr>
          <w:p w14:paraId="38E3FE7F"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45</w:t>
            </w:r>
          </w:p>
        </w:tc>
        <w:tc>
          <w:tcPr>
            <w:tcW w:w="1664" w:type="dxa"/>
          </w:tcPr>
          <w:p w14:paraId="1DA71DF0"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1. Офіційні друковані видання України.</w:t>
            </w:r>
          </w:p>
          <w:p w14:paraId="2F3444D3"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2. Офіційний </w:t>
            </w:r>
            <w:proofErr w:type="spellStart"/>
            <w:r w:rsidRPr="00B830DA">
              <w:rPr>
                <w:rFonts w:ascii="Times New Roman" w:hAnsi="Times New Roman" w:cs="Times New Roman"/>
                <w:sz w:val="16"/>
                <w:szCs w:val="16"/>
                <w:lang w:bidi="uk-UA"/>
              </w:rPr>
              <w:t>вебпортал</w:t>
            </w:r>
            <w:proofErr w:type="spellEnd"/>
            <w:r w:rsidRPr="00B830DA">
              <w:rPr>
                <w:rFonts w:ascii="Times New Roman" w:hAnsi="Times New Roman" w:cs="Times New Roman"/>
                <w:sz w:val="16"/>
                <w:szCs w:val="16"/>
                <w:lang w:bidi="uk-UA"/>
              </w:rPr>
              <w:t xml:space="preserve"> Парламенту України (https://www.zakon.rada.gov.ua/)</w:t>
            </w:r>
          </w:p>
        </w:tc>
        <w:tc>
          <w:tcPr>
            <w:tcW w:w="1404" w:type="dxa"/>
          </w:tcPr>
          <w:p w14:paraId="034114D1"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2B9C9C09" w14:textId="77777777" w:rsidTr="009C2ACE">
        <w:tc>
          <w:tcPr>
            <w:tcW w:w="2494" w:type="dxa"/>
            <w:vMerge/>
          </w:tcPr>
          <w:p w14:paraId="0AF0CC5C"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p>
        </w:tc>
        <w:tc>
          <w:tcPr>
            <w:tcW w:w="8133" w:type="dxa"/>
          </w:tcPr>
          <w:p w14:paraId="52DCA0FD"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val="ru-RU" w:bidi="uk-UA"/>
              </w:rPr>
              <w:t>2</w:t>
            </w:r>
            <w:r w:rsidRPr="007F29E1">
              <w:rPr>
                <w:rFonts w:ascii="Times New Roman" w:hAnsi="Times New Roman" w:cs="Times New Roman"/>
                <w:sz w:val="20"/>
                <w:szCs w:val="20"/>
                <w:lang w:bidi="uk-UA"/>
              </w:rPr>
              <w:t>. Набрав чинності Закон, яким, зокрема:</w:t>
            </w:r>
          </w:p>
          <w:p w14:paraId="7518F342" w14:textId="77777777"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удосконалено існуючі правила етичної поведінки депутатів місцевих рад (15%);</w:t>
            </w:r>
          </w:p>
          <w:p w14:paraId="593913A6" w14:textId="77777777"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передбачено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 (15%);</w:t>
            </w:r>
          </w:p>
          <w:p w14:paraId="7DB3BE10" w14:textId="77777777"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визначено органи, які здійснюватимуть контроль за дотриманням стандартів (правил) етичної поведінки депутатами місцевих рад, виборними особами місцевого самоврядування (10%);</w:t>
            </w:r>
          </w:p>
          <w:p w14:paraId="738F6831"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eastAsia="Times New Roman" w:hAnsi="Times New Roman" w:cs="Times New Roman"/>
                <w:color w:val="000000"/>
                <w:sz w:val="16"/>
                <w:szCs w:val="20"/>
                <w:lang w:eastAsia="uk-UA" w:bidi="uk-UA"/>
              </w:rPr>
              <w:t>- запроваджено процедуру звернень громадян щодо неетичної поведінки депутатів місцевого самоврядування, виборних осіб місцевого самоврядування. (5%).</w:t>
            </w:r>
          </w:p>
        </w:tc>
        <w:tc>
          <w:tcPr>
            <w:tcW w:w="1468" w:type="dxa"/>
          </w:tcPr>
          <w:p w14:paraId="5F9D0DB8"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45</w:t>
            </w:r>
          </w:p>
        </w:tc>
        <w:tc>
          <w:tcPr>
            <w:tcW w:w="1664" w:type="dxa"/>
          </w:tcPr>
          <w:p w14:paraId="272437AB"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33785D35"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tr w:rsidR="00B830DA" w:rsidRPr="00B830DA" w14:paraId="7FD1F8AD" w14:textId="77777777" w:rsidTr="009C2ACE">
        <w:tc>
          <w:tcPr>
            <w:tcW w:w="2494" w:type="dxa"/>
            <w:vMerge/>
          </w:tcPr>
          <w:p w14:paraId="321AE0AF"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p>
        </w:tc>
        <w:tc>
          <w:tcPr>
            <w:tcW w:w="8133" w:type="dxa"/>
          </w:tcPr>
          <w:p w14:paraId="4C2A6421"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7F29E1">
              <w:rPr>
                <w:rFonts w:ascii="Times New Roman" w:hAnsi="Times New Roman" w:cs="Times New Roman"/>
                <w:sz w:val="20"/>
                <w:szCs w:val="20"/>
                <w:lang w:bidi="uk-UA"/>
              </w:rPr>
              <w:t>3. </w:t>
            </w:r>
            <w:r w:rsidRPr="007F29E1">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11501591"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(10%);</w:t>
            </w:r>
          </w:p>
          <w:p w14:paraId="48580B68"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(6%);</w:t>
            </w:r>
          </w:p>
          <w:p w14:paraId="74BA634E"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eastAsia="Times New Roman" w:hAnsi="Times New Roman" w:cs="Times New Roman"/>
                <w:color w:val="000000"/>
                <w:sz w:val="16"/>
                <w:szCs w:val="20"/>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(3%).</w:t>
            </w:r>
          </w:p>
        </w:tc>
        <w:tc>
          <w:tcPr>
            <w:tcW w:w="1468" w:type="dxa"/>
          </w:tcPr>
          <w:p w14:paraId="2D808EF7"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37F9554D" w14:textId="77777777" w:rsidR="00B830DA" w:rsidRPr="00B830DA" w:rsidRDefault="00B830DA" w:rsidP="007F29E1">
            <w:pPr>
              <w:tabs>
                <w:tab w:val="left" w:pos="4395"/>
              </w:tabs>
              <w:jc w:val="center"/>
              <w:rPr>
                <w:rFonts w:ascii="Times New Roman" w:hAnsi="Times New Roman" w:cs="Times New Roman"/>
                <w:sz w:val="16"/>
                <w:szCs w:val="16"/>
                <w:lang w:bidi="uk-UA"/>
              </w:rPr>
            </w:pPr>
          </w:p>
        </w:tc>
        <w:tc>
          <w:tcPr>
            <w:tcW w:w="1404" w:type="dxa"/>
          </w:tcPr>
          <w:p w14:paraId="734A2DF5" w14:textId="77777777" w:rsidR="00B830DA" w:rsidRPr="00B830DA" w:rsidRDefault="00B830DA" w:rsidP="007F29E1">
            <w:pPr>
              <w:tabs>
                <w:tab w:val="left" w:pos="4395"/>
              </w:tabs>
              <w:jc w:val="center"/>
              <w:rPr>
                <w:rFonts w:ascii="Times New Roman" w:hAnsi="Times New Roman" w:cs="Times New Roman"/>
                <w:sz w:val="16"/>
                <w:szCs w:val="16"/>
                <w:lang w:bidi="uk-UA"/>
              </w:rPr>
            </w:pPr>
          </w:p>
        </w:tc>
      </w:tr>
      <w:tr w:rsidR="00B830DA" w:rsidRPr="00B830DA" w14:paraId="72ECC5F5" w14:textId="77777777" w:rsidTr="009C2ACE">
        <w:tc>
          <w:tcPr>
            <w:tcW w:w="2494" w:type="dxa"/>
            <w:vMerge w:val="restart"/>
          </w:tcPr>
          <w:p w14:paraId="353DFB9C"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 xml:space="preserve">1.3.4.2. Забезпечено запровадження заходів відповідальності керівників за відсутність передбаченого законом реагування на виявлені </w:t>
            </w:r>
            <w:r w:rsidRPr="007F29E1">
              <w:rPr>
                <w:rFonts w:ascii="Times New Roman" w:eastAsia="Times New Roman" w:hAnsi="Times New Roman" w:cs="Times New Roman"/>
                <w:b/>
                <w:sz w:val="20"/>
                <w:szCs w:val="20"/>
                <w:lang w:eastAsia="uk-UA" w:bidi="uk-UA"/>
              </w:rPr>
              <w:lastRenderedPageBreak/>
              <w:t>факти грубого порушення антикорупційного законодавства</w:t>
            </w:r>
          </w:p>
        </w:tc>
        <w:tc>
          <w:tcPr>
            <w:tcW w:w="8133" w:type="dxa"/>
          </w:tcPr>
          <w:p w14:paraId="25EA65C4"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bidi="uk-UA"/>
              </w:rPr>
              <w:lastRenderedPageBreak/>
              <w:t>1.Набрав чинності Закон, положеннями якого встановлено дієві механізми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w:t>
            </w:r>
          </w:p>
        </w:tc>
        <w:tc>
          <w:tcPr>
            <w:tcW w:w="1468" w:type="dxa"/>
          </w:tcPr>
          <w:p w14:paraId="2C4EDEBB"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90</w:t>
            </w:r>
          </w:p>
        </w:tc>
        <w:tc>
          <w:tcPr>
            <w:tcW w:w="1664" w:type="dxa"/>
          </w:tcPr>
          <w:p w14:paraId="68C36D32"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1. Офіційні друковані видання України.</w:t>
            </w:r>
          </w:p>
          <w:p w14:paraId="2C40F906"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2. Офіційний </w:t>
            </w:r>
            <w:proofErr w:type="spellStart"/>
            <w:r w:rsidRPr="00B830DA">
              <w:rPr>
                <w:rFonts w:ascii="Times New Roman" w:hAnsi="Times New Roman" w:cs="Times New Roman"/>
                <w:sz w:val="16"/>
                <w:szCs w:val="16"/>
                <w:lang w:bidi="uk-UA"/>
              </w:rPr>
              <w:t>вебпортал</w:t>
            </w:r>
            <w:proofErr w:type="spellEnd"/>
            <w:r w:rsidRPr="00B830DA">
              <w:rPr>
                <w:rFonts w:ascii="Times New Roman" w:hAnsi="Times New Roman" w:cs="Times New Roman"/>
                <w:sz w:val="16"/>
                <w:szCs w:val="16"/>
                <w:lang w:bidi="uk-UA"/>
              </w:rPr>
              <w:t xml:space="preserve"> Парламенту України (https://www.zakon.rada.gov.ua/)</w:t>
            </w:r>
          </w:p>
        </w:tc>
        <w:tc>
          <w:tcPr>
            <w:tcW w:w="1404" w:type="dxa"/>
          </w:tcPr>
          <w:p w14:paraId="539E1732"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012C1235" w14:textId="77777777" w:rsidTr="009C2ACE">
        <w:tc>
          <w:tcPr>
            <w:tcW w:w="2494" w:type="dxa"/>
            <w:vMerge/>
          </w:tcPr>
          <w:p w14:paraId="00733E52"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602A7C12"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B830DA">
              <w:rPr>
                <w:rFonts w:ascii="Times New Roman" w:hAnsi="Times New Roman" w:cs="Times New Roman"/>
                <w:sz w:val="20"/>
                <w:szCs w:val="20"/>
                <w:lang w:bidi="uk-UA"/>
              </w:rPr>
              <w:t>2. </w:t>
            </w:r>
            <w:r w:rsidRPr="00B830DA">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58E6A5CA"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(10%);</w:t>
            </w:r>
          </w:p>
          <w:p w14:paraId="2373273A"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(6%);</w:t>
            </w:r>
          </w:p>
          <w:p w14:paraId="13B4A4AE" w14:textId="77777777" w:rsidR="00B830DA" w:rsidRPr="00B830DA" w:rsidRDefault="00B830DA" w:rsidP="007F29E1">
            <w:pPr>
              <w:tabs>
                <w:tab w:val="left" w:pos="4395"/>
              </w:tabs>
              <w:ind w:firstLine="284"/>
              <w:contextualSpacing/>
              <w:jc w:val="both"/>
              <w:rPr>
                <w:rFonts w:ascii="Times New Roman"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(3%).</w:t>
            </w:r>
          </w:p>
        </w:tc>
        <w:tc>
          <w:tcPr>
            <w:tcW w:w="1468" w:type="dxa"/>
          </w:tcPr>
          <w:p w14:paraId="141E5B10"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6B9842F6"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4B4DC284"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tr w:rsidR="00B830DA" w:rsidRPr="00B830DA" w14:paraId="4CEC7D8E" w14:textId="77777777" w:rsidTr="009C2ACE">
        <w:trPr>
          <w:trHeight w:val="560"/>
        </w:trPr>
        <w:tc>
          <w:tcPr>
            <w:tcW w:w="2494" w:type="dxa"/>
            <w:vMerge w:val="restart"/>
          </w:tcPr>
          <w:p w14:paraId="12C31CFA"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1.3.4.3.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tc>
        <w:tc>
          <w:tcPr>
            <w:tcW w:w="8133" w:type="dxa"/>
          </w:tcPr>
          <w:p w14:paraId="623B4C41" w14:textId="77777777" w:rsidR="00B830DA" w:rsidRPr="00B830DA" w:rsidRDefault="00B830DA" w:rsidP="007F29E1">
            <w:pPr>
              <w:tabs>
                <w:tab w:val="left" w:pos="4395"/>
              </w:tabs>
              <w:ind w:firstLine="284"/>
              <w:contextualSpacing/>
              <w:jc w:val="both"/>
              <w:rPr>
                <w:rFonts w:ascii="Times New Roman" w:hAnsi="Times New Roman" w:cs="Times New Roman"/>
                <w:sz w:val="16"/>
                <w:szCs w:val="16"/>
                <w:lang w:bidi="uk-UA"/>
              </w:rPr>
            </w:pPr>
            <w:r w:rsidRPr="00B830DA">
              <w:rPr>
                <w:rFonts w:ascii="Times New Roman" w:hAnsi="Times New Roman" w:cs="Times New Roman"/>
                <w:sz w:val="20"/>
                <w:szCs w:val="20"/>
                <w:lang w:bidi="uk-UA"/>
              </w:rPr>
              <w:t>1. Щорічний звіт за результатами здійснення НАЗК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оприлюднено з конкретними рекомендаціями щодо вдосконалення законодавства та/або практики його застосування.</w:t>
            </w:r>
          </w:p>
        </w:tc>
        <w:tc>
          <w:tcPr>
            <w:tcW w:w="1468" w:type="dxa"/>
          </w:tcPr>
          <w:p w14:paraId="17E9501D"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50</w:t>
            </w:r>
          </w:p>
        </w:tc>
        <w:tc>
          <w:tcPr>
            <w:tcW w:w="1664" w:type="dxa"/>
          </w:tcPr>
          <w:p w14:paraId="6CB3394E"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Офіційний </w:t>
            </w:r>
            <w:proofErr w:type="spellStart"/>
            <w:r w:rsidRPr="00B830DA">
              <w:rPr>
                <w:rFonts w:ascii="Times New Roman" w:hAnsi="Times New Roman" w:cs="Times New Roman"/>
                <w:sz w:val="16"/>
                <w:szCs w:val="16"/>
                <w:lang w:bidi="uk-UA"/>
              </w:rPr>
              <w:t>вебсайт</w:t>
            </w:r>
            <w:proofErr w:type="spellEnd"/>
            <w:r w:rsidRPr="00B830DA">
              <w:rPr>
                <w:rFonts w:ascii="Times New Roman" w:hAnsi="Times New Roman" w:cs="Times New Roman"/>
                <w:sz w:val="16"/>
                <w:szCs w:val="16"/>
                <w:lang w:bidi="uk-UA"/>
              </w:rPr>
              <w:t xml:space="preserve"> НАЗК (https://www.nazk.gov.ua)</w:t>
            </w:r>
          </w:p>
        </w:tc>
        <w:tc>
          <w:tcPr>
            <w:tcW w:w="1404" w:type="dxa"/>
          </w:tcPr>
          <w:p w14:paraId="32AA5E32"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Щорічний звіт відсутній</w:t>
            </w:r>
          </w:p>
        </w:tc>
      </w:tr>
      <w:tr w:rsidR="00B830DA" w:rsidRPr="00B830DA" w14:paraId="3557854A" w14:textId="77777777" w:rsidTr="009C2ACE">
        <w:tc>
          <w:tcPr>
            <w:tcW w:w="2494" w:type="dxa"/>
            <w:vMerge/>
          </w:tcPr>
          <w:p w14:paraId="27997ED0"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46A2BD51" w14:textId="77777777" w:rsidR="00B830DA" w:rsidRPr="00B830DA" w:rsidRDefault="00B830DA" w:rsidP="007F29E1">
            <w:pPr>
              <w:ind w:firstLine="284"/>
              <w:jc w:val="both"/>
              <w:rPr>
                <w:rFonts w:ascii="Times New Roman" w:hAnsi="Times New Roman" w:cs="Times New Roman"/>
                <w:sz w:val="20"/>
                <w:szCs w:val="20"/>
                <w:lang w:bidi="uk-UA"/>
              </w:rPr>
            </w:pPr>
            <w:r w:rsidRPr="00B830DA">
              <w:rPr>
                <w:rFonts w:ascii="Times New Roman" w:hAnsi="Times New Roman" w:cs="Times New Roman"/>
                <w:sz w:val="20"/>
                <w:szCs w:val="20"/>
                <w:lang w:bidi="uk-UA"/>
              </w:rPr>
              <w:t>2.</w:t>
            </w:r>
            <w:r w:rsidRPr="00B830DA">
              <w:rPr>
                <w:rFonts w:ascii="Times New Roman" w:hAnsi="Times New Roman" w:cs="Times New Roman"/>
                <w:sz w:val="20"/>
                <w:szCs w:val="20"/>
                <w:lang w:val="ru-RU" w:bidi="uk-UA"/>
              </w:rPr>
              <w:t> </w:t>
            </w:r>
            <w:r w:rsidRPr="00B830DA">
              <w:rPr>
                <w:rFonts w:ascii="Times New Roman" w:hAnsi="Times New Roman" w:cs="Times New Roman"/>
                <w:sz w:val="20"/>
                <w:szCs w:val="20"/>
              </w:rPr>
              <w:t>Набрав чинності Закон, який розроблений на підставі рекомендацій, зазначених в показнику (індикаторі) досягнення № 1 очікуваного стратегічного результату 1.3.4.3.,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468" w:type="dxa"/>
          </w:tcPr>
          <w:p w14:paraId="6C459867"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40</w:t>
            </w:r>
          </w:p>
        </w:tc>
        <w:tc>
          <w:tcPr>
            <w:tcW w:w="1664" w:type="dxa"/>
          </w:tcPr>
          <w:p w14:paraId="44F4884D"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Офіційний </w:t>
            </w:r>
            <w:proofErr w:type="spellStart"/>
            <w:r w:rsidRPr="00B830DA">
              <w:rPr>
                <w:rFonts w:ascii="Times New Roman" w:hAnsi="Times New Roman" w:cs="Times New Roman"/>
                <w:sz w:val="16"/>
                <w:szCs w:val="16"/>
                <w:lang w:bidi="uk-UA"/>
              </w:rPr>
              <w:t>вебсайт</w:t>
            </w:r>
            <w:proofErr w:type="spellEnd"/>
            <w:r w:rsidRPr="00B830DA">
              <w:rPr>
                <w:rFonts w:ascii="Times New Roman" w:hAnsi="Times New Roman" w:cs="Times New Roman"/>
                <w:sz w:val="16"/>
                <w:szCs w:val="16"/>
                <w:lang w:bidi="uk-UA"/>
              </w:rPr>
              <w:t xml:space="preserve"> НАЗК (https://www.nazk.gov.ua)</w:t>
            </w:r>
          </w:p>
        </w:tc>
        <w:tc>
          <w:tcPr>
            <w:tcW w:w="1404" w:type="dxa"/>
          </w:tcPr>
          <w:p w14:paraId="741DC690"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44332BC4" w14:textId="77777777" w:rsidTr="009C2ACE">
        <w:tc>
          <w:tcPr>
            <w:tcW w:w="2494" w:type="dxa"/>
            <w:vMerge/>
          </w:tcPr>
          <w:p w14:paraId="79A12ED6"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378EC878"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B830DA">
              <w:rPr>
                <w:rFonts w:ascii="Times New Roman" w:hAnsi="Times New Roman" w:cs="Times New Roman"/>
                <w:sz w:val="20"/>
                <w:szCs w:val="20"/>
                <w:lang w:bidi="uk-UA"/>
              </w:rPr>
              <w:t>3. </w:t>
            </w:r>
            <w:r w:rsidRPr="00B830DA">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7BAD7FD4"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(10%);</w:t>
            </w:r>
          </w:p>
          <w:p w14:paraId="4A0DD8DB"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(6%);</w:t>
            </w:r>
          </w:p>
          <w:p w14:paraId="104538AE" w14:textId="77777777" w:rsidR="00B830DA" w:rsidRPr="00B830DA" w:rsidRDefault="00B830DA" w:rsidP="007F29E1">
            <w:pPr>
              <w:tabs>
                <w:tab w:val="left" w:pos="4395"/>
              </w:tabs>
              <w:ind w:firstLine="284"/>
              <w:contextualSpacing/>
              <w:jc w:val="both"/>
              <w:rPr>
                <w:rFonts w:ascii="Times New Roman"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(3%).</w:t>
            </w:r>
          </w:p>
        </w:tc>
        <w:tc>
          <w:tcPr>
            <w:tcW w:w="1468" w:type="dxa"/>
          </w:tcPr>
          <w:p w14:paraId="4A9C2CFF"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64771EE8"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48E9962E"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bookmarkEnd w:id="4"/>
    </w:tbl>
    <w:p w14:paraId="7A22DBDC" w14:textId="77777777" w:rsidR="00B830DA" w:rsidRPr="00B830DA" w:rsidRDefault="00B830DA" w:rsidP="00B830DA">
      <w:pPr>
        <w:rPr>
          <w:rFonts w:ascii="Times New Roman" w:hAnsi="Times New Roman" w:cs="Times New Roman"/>
          <w:b/>
        </w:rPr>
      </w:pPr>
    </w:p>
    <w:p w14:paraId="26598913" w14:textId="77777777" w:rsidR="00B830DA" w:rsidRPr="00B830DA" w:rsidRDefault="00B830DA" w:rsidP="00B830DA">
      <w:pPr>
        <w:rPr>
          <w:rFonts w:ascii="Times New Roman" w:hAnsi="Times New Roman" w:cs="Times New Roman"/>
          <w:b/>
        </w:rPr>
      </w:pPr>
      <w:r w:rsidRPr="00B830DA">
        <w:rPr>
          <w:rFonts w:ascii="Times New Roman" w:hAnsi="Times New Roman" w:cs="Times New Roman"/>
          <w:b/>
        </w:rPr>
        <w:br w:type="page"/>
      </w:r>
    </w:p>
    <w:p w14:paraId="53EC6502" w14:textId="465FA0B1" w:rsidR="00B830DA" w:rsidRPr="00B830DA" w:rsidRDefault="00B830DA" w:rsidP="00B830DA">
      <w:pPr>
        <w:rPr>
          <w:rFonts w:ascii="Times New Roman" w:hAnsi="Times New Roman" w:cs="Times New Roman"/>
          <w:b/>
        </w:rPr>
      </w:pPr>
      <w:r w:rsidRPr="00B830DA">
        <w:rPr>
          <w:rFonts w:ascii="Times New Roman" w:hAnsi="Times New Roman" w:cs="Times New Roman"/>
          <w:b/>
        </w:rPr>
        <w:lastRenderedPageBreak/>
        <w:t>Заходи</w:t>
      </w:r>
      <w:r>
        <w:rPr>
          <w:rFonts w:ascii="Times New Roman" w:hAnsi="Times New Roman" w:cs="Times New Roman"/>
          <w:b/>
        </w:rPr>
        <w:t>:</w:t>
      </w:r>
    </w:p>
    <w:tbl>
      <w:tblPr>
        <w:tblStyle w:val="a3"/>
        <w:tblW w:w="5000" w:type="pct"/>
        <w:tblLayout w:type="fixed"/>
        <w:tblLook w:val="04A0" w:firstRow="1" w:lastRow="0" w:firstColumn="1" w:lastColumn="0" w:noHBand="0" w:noVBand="1"/>
      </w:tblPr>
      <w:tblGrid>
        <w:gridCol w:w="5715"/>
        <w:gridCol w:w="1084"/>
        <w:gridCol w:w="950"/>
        <w:gridCol w:w="950"/>
        <w:gridCol w:w="1348"/>
        <w:gridCol w:w="1347"/>
        <w:gridCol w:w="1479"/>
        <w:gridCol w:w="1083"/>
        <w:gridCol w:w="918"/>
      </w:tblGrid>
      <w:tr w:rsidR="00B830DA" w:rsidRPr="00B830DA" w14:paraId="131FF976" w14:textId="77777777" w:rsidTr="009C2ACE">
        <w:trPr>
          <w:trHeight w:val="479"/>
        </w:trPr>
        <w:tc>
          <w:tcPr>
            <w:tcW w:w="5777" w:type="dxa"/>
            <w:vMerge w:val="restart"/>
            <w:shd w:val="clear" w:color="auto" w:fill="D9E2F3"/>
            <w:vAlign w:val="center"/>
          </w:tcPr>
          <w:p w14:paraId="2EEBE607" w14:textId="77777777" w:rsidR="00B830DA" w:rsidRPr="00B830DA" w:rsidRDefault="00B830DA" w:rsidP="00B830DA">
            <w:pPr>
              <w:ind w:left="-45" w:right="-31"/>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Найменування та зміст заходу</w:t>
            </w:r>
          </w:p>
        </w:tc>
        <w:tc>
          <w:tcPr>
            <w:tcW w:w="2051" w:type="dxa"/>
            <w:gridSpan w:val="2"/>
            <w:shd w:val="clear" w:color="auto" w:fill="D9E2F3"/>
            <w:vAlign w:val="center"/>
          </w:tcPr>
          <w:p w14:paraId="2AE46E64" w14:textId="77777777" w:rsidR="00B830DA" w:rsidRPr="00B830DA" w:rsidRDefault="00B830DA" w:rsidP="00B830DA">
            <w:pPr>
              <w:ind w:left="-45" w:right="-31"/>
              <w:jc w:val="center"/>
              <w:rPr>
                <w:rFonts w:ascii="Times New Roman" w:eastAsia="Times New Roman" w:hAnsi="Times New Roman" w:cs="Times New Roman"/>
                <w:b/>
                <w:sz w:val="20"/>
                <w:szCs w:val="20"/>
              </w:rPr>
            </w:pPr>
            <w:r w:rsidRPr="00B830DA">
              <w:rPr>
                <w:rFonts w:ascii="Times New Roman" w:eastAsia="Times New Roman" w:hAnsi="Times New Roman" w:cs="Times New Roman"/>
                <w:b/>
                <w:sz w:val="20"/>
                <w:szCs w:val="20"/>
              </w:rPr>
              <w:t>Строки виконання</w:t>
            </w:r>
          </w:p>
        </w:tc>
        <w:tc>
          <w:tcPr>
            <w:tcW w:w="958" w:type="dxa"/>
            <w:vMerge w:val="restart"/>
            <w:shd w:val="clear" w:color="auto" w:fill="D9E2F3"/>
            <w:vAlign w:val="center"/>
          </w:tcPr>
          <w:p w14:paraId="186BAF9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Виконавці</w:t>
            </w:r>
          </w:p>
        </w:tc>
        <w:tc>
          <w:tcPr>
            <w:tcW w:w="2719" w:type="dxa"/>
            <w:gridSpan w:val="2"/>
            <w:shd w:val="clear" w:color="auto" w:fill="D9E2F3"/>
            <w:vAlign w:val="center"/>
          </w:tcPr>
          <w:p w14:paraId="763D3090" w14:textId="77777777" w:rsidR="00B830DA" w:rsidRPr="00B830DA" w:rsidRDefault="00B830DA" w:rsidP="00B830DA">
            <w:pPr>
              <w:ind w:left="-45" w:right="-31"/>
              <w:jc w:val="center"/>
              <w:rPr>
                <w:rFonts w:ascii="Times New Roman" w:eastAsia="Times New Roman" w:hAnsi="Times New Roman" w:cs="Times New Roman"/>
                <w:b/>
              </w:rPr>
            </w:pPr>
            <w:r w:rsidRPr="00B830DA">
              <w:rPr>
                <w:rFonts w:ascii="Times New Roman" w:eastAsia="Times New Roman" w:hAnsi="Times New Roman" w:cs="Times New Roman"/>
                <w:b/>
              </w:rPr>
              <w:t>Фінансові ресурси</w:t>
            </w:r>
          </w:p>
        </w:tc>
        <w:tc>
          <w:tcPr>
            <w:tcW w:w="1493" w:type="dxa"/>
            <w:vMerge w:val="restart"/>
            <w:shd w:val="clear" w:color="auto" w:fill="D9E2F3"/>
            <w:vAlign w:val="center"/>
          </w:tcPr>
          <w:p w14:paraId="247D014B"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Показник (індикатор) виконання</w:t>
            </w:r>
          </w:p>
        </w:tc>
        <w:tc>
          <w:tcPr>
            <w:tcW w:w="1092" w:type="dxa"/>
            <w:vMerge w:val="restart"/>
            <w:shd w:val="clear" w:color="auto" w:fill="D9E2F3"/>
            <w:vAlign w:val="center"/>
          </w:tcPr>
          <w:p w14:paraId="6AA7732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Джерело даних</w:t>
            </w:r>
          </w:p>
        </w:tc>
        <w:tc>
          <w:tcPr>
            <w:tcW w:w="926" w:type="dxa"/>
            <w:vMerge w:val="restart"/>
            <w:shd w:val="clear" w:color="auto" w:fill="D9E2F3"/>
            <w:vAlign w:val="center"/>
          </w:tcPr>
          <w:p w14:paraId="34FAC338" w14:textId="77777777" w:rsidR="00B830DA" w:rsidRPr="00B830DA" w:rsidRDefault="00B830DA" w:rsidP="00B830DA">
            <w:pPr>
              <w:ind w:left="-45" w:right="-31"/>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16"/>
                <w:szCs w:val="16"/>
              </w:rPr>
              <w:t>Базовий показник</w:t>
            </w:r>
          </w:p>
        </w:tc>
      </w:tr>
      <w:tr w:rsidR="00B830DA" w:rsidRPr="00B830DA" w14:paraId="2D9BD3B7" w14:textId="77777777" w:rsidTr="009C2ACE">
        <w:trPr>
          <w:trHeight w:val="473"/>
        </w:trPr>
        <w:tc>
          <w:tcPr>
            <w:tcW w:w="5777" w:type="dxa"/>
            <w:vMerge/>
            <w:shd w:val="clear" w:color="auto" w:fill="D9E2F3"/>
            <w:vAlign w:val="center"/>
          </w:tcPr>
          <w:p w14:paraId="4CB1ED99"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093" w:type="dxa"/>
            <w:shd w:val="clear" w:color="auto" w:fill="D9E2F3"/>
            <w:vAlign w:val="center"/>
          </w:tcPr>
          <w:p w14:paraId="60F4D63B"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початку</w:t>
            </w:r>
          </w:p>
        </w:tc>
        <w:tc>
          <w:tcPr>
            <w:tcW w:w="958" w:type="dxa"/>
            <w:shd w:val="clear" w:color="auto" w:fill="D9E2F3"/>
            <w:vAlign w:val="center"/>
          </w:tcPr>
          <w:p w14:paraId="2BCB727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завершення</w:t>
            </w:r>
          </w:p>
        </w:tc>
        <w:tc>
          <w:tcPr>
            <w:tcW w:w="958" w:type="dxa"/>
            <w:vMerge/>
            <w:shd w:val="clear" w:color="auto" w:fill="D9E2F3"/>
            <w:vAlign w:val="center"/>
          </w:tcPr>
          <w:p w14:paraId="36F43C8B"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360" w:type="dxa"/>
            <w:shd w:val="clear" w:color="auto" w:fill="D9E2F3"/>
            <w:vAlign w:val="center"/>
          </w:tcPr>
          <w:p w14:paraId="52C36222"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Джерела фінансування</w:t>
            </w:r>
          </w:p>
        </w:tc>
        <w:tc>
          <w:tcPr>
            <w:tcW w:w="1359" w:type="dxa"/>
            <w:shd w:val="clear" w:color="auto" w:fill="D9E2F3"/>
            <w:vAlign w:val="center"/>
          </w:tcPr>
          <w:p w14:paraId="2C9890B0"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Обсяги фінансування</w:t>
            </w:r>
          </w:p>
        </w:tc>
        <w:tc>
          <w:tcPr>
            <w:tcW w:w="1493" w:type="dxa"/>
            <w:vMerge/>
            <w:shd w:val="clear" w:color="auto" w:fill="D9E2F3"/>
            <w:vAlign w:val="center"/>
          </w:tcPr>
          <w:p w14:paraId="73F37DB6"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092" w:type="dxa"/>
            <w:vMerge/>
            <w:shd w:val="clear" w:color="auto" w:fill="D9E2F3"/>
            <w:vAlign w:val="center"/>
          </w:tcPr>
          <w:p w14:paraId="5F2A9DC9"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926" w:type="dxa"/>
            <w:vMerge/>
            <w:shd w:val="clear" w:color="auto" w:fill="D9E2F3"/>
          </w:tcPr>
          <w:p w14:paraId="00F40CCD" w14:textId="77777777" w:rsidR="00B830DA" w:rsidRPr="00B830DA" w:rsidRDefault="00B830DA" w:rsidP="00B830DA">
            <w:pPr>
              <w:ind w:left="-45" w:right="-31"/>
              <w:jc w:val="center"/>
              <w:rPr>
                <w:rFonts w:ascii="Times New Roman" w:eastAsia="Times New Roman" w:hAnsi="Times New Roman" w:cs="Times New Roman"/>
                <w:b/>
                <w:sz w:val="16"/>
                <w:szCs w:val="16"/>
              </w:rPr>
            </w:pPr>
          </w:p>
        </w:tc>
      </w:tr>
      <w:tr w:rsidR="00B830DA" w:rsidRPr="00B830DA" w14:paraId="363EEE01" w14:textId="77777777" w:rsidTr="009C2ACE">
        <w:trPr>
          <w:trHeight w:val="495"/>
        </w:trPr>
        <w:tc>
          <w:tcPr>
            <w:tcW w:w="15016" w:type="dxa"/>
            <w:gridSpan w:val="9"/>
            <w:shd w:val="clear" w:color="auto" w:fill="E2EFD9" w:themeFill="accent6" w:themeFillTint="33"/>
            <w:vAlign w:val="center"/>
          </w:tcPr>
          <w:p w14:paraId="4E15D2A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b/>
                <w:sz w:val="24"/>
                <w:szCs w:val="24"/>
              </w:rPr>
              <w:t>Очікуваний стратегічний результат 1.3.4.1.</w:t>
            </w:r>
          </w:p>
        </w:tc>
      </w:tr>
      <w:tr w:rsidR="00B830DA" w:rsidRPr="00B830DA" w14:paraId="10A10EC2" w14:textId="77777777" w:rsidTr="009C2ACE">
        <w:trPr>
          <w:trHeight w:val="230"/>
        </w:trPr>
        <w:tc>
          <w:tcPr>
            <w:tcW w:w="5777" w:type="dxa"/>
          </w:tcPr>
          <w:p w14:paraId="273D674B" w14:textId="7E86AF47" w:rsidR="00B830DA" w:rsidRPr="00B830DA" w:rsidRDefault="007F29E1"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Забезпечення співпраці НАЗК  з парламентською Робочою групою  з підготовки комплексних законодавчих пропозицій щодо внесення змін до законів України у сфері парламентського права, створеної розпорядженням Голови Верховної Ради України від 24.11.2021 № 431, шляхом:</w:t>
            </w:r>
          </w:p>
          <w:p w14:paraId="79B0744C"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участі у засіданнях Робочої підгрупи по розробці Етичного кодексу та статусу народних депутатів;</w:t>
            </w:r>
          </w:p>
          <w:p w14:paraId="016A6F77"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надання консультативної допомоги, опрацювання проектів документів, надання пропозицій і зауважень до них. </w:t>
            </w:r>
          </w:p>
        </w:tc>
        <w:tc>
          <w:tcPr>
            <w:tcW w:w="1093" w:type="dxa"/>
          </w:tcPr>
          <w:p w14:paraId="6B42D26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Січень </w:t>
            </w:r>
          </w:p>
          <w:p w14:paraId="7D8F1076"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2023 р.</w:t>
            </w:r>
          </w:p>
        </w:tc>
        <w:tc>
          <w:tcPr>
            <w:tcW w:w="958" w:type="dxa"/>
          </w:tcPr>
          <w:p w14:paraId="74777015"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дня внесення на розгляд Верховної ради законопроекту, зазначеного в індикаторі 1.1. ОСР 1.3.4.1</w:t>
            </w:r>
          </w:p>
        </w:tc>
        <w:tc>
          <w:tcPr>
            <w:tcW w:w="958" w:type="dxa"/>
          </w:tcPr>
          <w:p w14:paraId="2513C127"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01E5C1D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649682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92DC2B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Участь НАЗК забезпечено</w:t>
            </w:r>
          </w:p>
        </w:tc>
        <w:tc>
          <w:tcPr>
            <w:tcW w:w="1092" w:type="dxa"/>
          </w:tcPr>
          <w:p w14:paraId="5B92C9F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1.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295A84B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
        </w:tc>
      </w:tr>
      <w:tr w:rsidR="00B830DA" w:rsidRPr="00B830DA" w14:paraId="71E9C28E" w14:textId="77777777" w:rsidTr="009C2ACE">
        <w:trPr>
          <w:trHeight w:val="230"/>
        </w:trPr>
        <w:tc>
          <w:tcPr>
            <w:tcW w:w="5777" w:type="dxa"/>
          </w:tcPr>
          <w:p w14:paraId="0DBFF282" w14:textId="7D9CED8F" w:rsidR="00B830DA" w:rsidRPr="00B830DA" w:rsidRDefault="007F29E1"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Розроблення проекту Закону, який:</w:t>
            </w:r>
          </w:p>
          <w:p w14:paraId="17C72A63"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удосконалить існуючі правила етичної поведінки депутатів місцевих рад;</w:t>
            </w:r>
          </w:p>
          <w:p w14:paraId="4EB1E48A"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передбачить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w:t>
            </w:r>
          </w:p>
          <w:p w14:paraId="19997467"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визначить орган, який здійснюватиме контроль за дотриманням стандартів (правил) етичної поведінки депутатами місцевих рад, виборними особами місцевого самоврядування; </w:t>
            </w:r>
          </w:p>
          <w:p w14:paraId="2F1346F8"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запровадить процедуру звернень громадян щодо неетичної поведінки депутатів місцевого самоврядування, виборних осіб місцевого самоврядування.</w:t>
            </w:r>
          </w:p>
        </w:tc>
        <w:tc>
          <w:tcPr>
            <w:tcW w:w="1093" w:type="dxa"/>
          </w:tcPr>
          <w:p w14:paraId="119670BD" w14:textId="77777777" w:rsidR="00B830DA" w:rsidRPr="00B830DA" w:rsidDel="00FB7EB7"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Жовтень 2023 р.</w:t>
            </w:r>
          </w:p>
        </w:tc>
        <w:tc>
          <w:tcPr>
            <w:tcW w:w="958" w:type="dxa"/>
          </w:tcPr>
          <w:p w14:paraId="536FB19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2023 р.</w:t>
            </w:r>
          </w:p>
        </w:tc>
        <w:tc>
          <w:tcPr>
            <w:tcW w:w="958" w:type="dxa"/>
          </w:tcPr>
          <w:p w14:paraId="7EFBD64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1E582A0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375105E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3A5CC4C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13F5561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45F5783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розроблено та зареєстровано в </w:t>
            </w:r>
            <w:proofErr w:type="spellStart"/>
            <w:r w:rsidRPr="00B830DA">
              <w:rPr>
                <w:rFonts w:ascii="Times New Roman" w:eastAsia="Times New Roman" w:hAnsi="Times New Roman" w:cs="Times New Roman"/>
                <w:color w:val="000000"/>
                <w:sz w:val="16"/>
                <w:szCs w:val="16"/>
                <w:lang w:eastAsia="uk-UA" w:bidi="uk-UA"/>
              </w:rPr>
              <w:t>Апараті</w:t>
            </w:r>
            <w:proofErr w:type="spellEnd"/>
            <w:r w:rsidRPr="00B830DA">
              <w:rPr>
                <w:rFonts w:ascii="Times New Roman" w:eastAsia="Times New Roman" w:hAnsi="Times New Roman" w:cs="Times New Roman"/>
                <w:color w:val="000000"/>
                <w:sz w:val="16"/>
                <w:szCs w:val="16"/>
                <w:lang w:eastAsia="uk-UA" w:bidi="uk-UA"/>
              </w:rPr>
              <w:t xml:space="preserve"> Верховної Ради України</w:t>
            </w:r>
          </w:p>
        </w:tc>
        <w:tc>
          <w:tcPr>
            <w:tcW w:w="1092" w:type="dxa"/>
          </w:tcPr>
          <w:p w14:paraId="7512B6F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6A0216C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6D3052E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6B9A1A1" w14:textId="77777777" w:rsidTr="009C2ACE">
        <w:trPr>
          <w:trHeight w:val="230"/>
        </w:trPr>
        <w:tc>
          <w:tcPr>
            <w:tcW w:w="5777" w:type="dxa"/>
          </w:tcPr>
          <w:p w14:paraId="2FD9C2FD"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1.3.4.1., та забезпечення його доопрацювання (у разі потреби).</w:t>
            </w:r>
          </w:p>
        </w:tc>
        <w:tc>
          <w:tcPr>
            <w:tcW w:w="1093" w:type="dxa"/>
          </w:tcPr>
          <w:p w14:paraId="501A320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 2023 р.</w:t>
            </w:r>
          </w:p>
        </w:tc>
        <w:tc>
          <w:tcPr>
            <w:tcW w:w="958" w:type="dxa"/>
          </w:tcPr>
          <w:p w14:paraId="17FF549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Квітень 2024 р.</w:t>
            </w:r>
          </w:p>
        </w:tc>
        <w:tc>
          <w:tcPr>
            <w:tcW w:w="958" w:type="dxa"/>
          </w:tcPr>
          <w:p w14:paraId="395D41A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49AD90B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2295BAE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652F5A5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4A9F7E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67981E2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51C991B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Офіційний сайт НАЗК (https://www/nazk.gov.ua/)</w:t>
            </w:r>
          </w:p>
        </w:tc>
        <w:tc>
          <w:tcPr>
            <w:tcW w:w="926" w:type="dxa"/>
          </w:tcPr>
          <w:p w14:paraId="3CE7E14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1F608B5" w14:textId="77777777" w:rsidTr="009C2ACE">
        <w:trPr>
          <w:trHeight w:val="230"/>
        </w:trPr>
        <w:tc>
          <w:tcPr>
            <w:tcW w:w="5777" w:type="dxa"/>
          </w:tcPr>
          <w:p w14:paraId="3A7A729C"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1.3.4.1., із заінтересованими органами, проведення правової експертизи, подання до Кабінету Міністрів України та супровід в Уряді.</w:t>
            </w:r>
          </w:p>
        </w:tc>
        <w:tc>
          <w:tcPr>
            <w:tcW w:w="1093" w:type="dxa"/>
          </w:tcPr>
          <w:p w14:paraId="068B8B5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Травень  2024 р.</w:t>
            </w:r>
          </w:p>
        </w:tc>
        <w:tc>
          <w:tcPr>
            <w:tcW w:w="958" w:type="dxa"/>
          </w:tcPr>
          <w:p w14:paraId="326D32B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958" w:type="dxa"/>
          </w:tcPr>
          <w:p w14:paraId="223F737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773D860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0E4BA6A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0745A5C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15F6350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15C8CE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92" w:type="dxa"/>
          </w:tcPr>
          <w:p w14:paraId="769576F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5F00E84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w:t>
            </w:r>
            <w:r w:rsidRPr="00B830DA">
              <w:rPr>
                <w:rFonts w:ascii="Times New Roman" w:eastAsia="Times New Roman" w:hAnsi="Times New Roman" w:cs="Times New Roman"/>
                <w:color w:val="000000"/>
                <w:sz w:val="16"/>
                <w:szCs w:val="16"/>
                <w:lang w:eastAsia="uk-UA" w:bidi="uk-UA"/>
              </w:rPr>
              <w:lastRenderedPageBreak/>
              <w:t>(https://www.rada.gov.ua/)</w:t>
            </w:r>
          </w:p>
        </w:tc>
        <w:tc>
          <w:tcPr>
            <w:tcW w:w="926" w:type="dxa"/>
          </w:tcPr>
          <w:p w14:paraId="40DB8E7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w:t>
            </w:r>
          </w:p>
        </w:tc>
      </w:tr>
      <w:tr w:rsidR="00B830DA" w:rsidRPr="00B830DA" w14:paraId="56F62024" w14:textId="77777777" w:rsidTr="009C2ACE">
        <w:trPr>
          <w:trHeight w:val="230"/>
        </w:trPr>
        <w:tc>
          <w:tcPr>
            <w:tcW w:w="5777" w:type="dxa"/>
          </w:tcPr>
          <w:p w14:paraId="16B8E38B"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5.</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1.3.4.1., у Верховній Раді України (у тому числі, у разі застосування до нього Президентом України права вето).</w:t>
            </w:r>
          </w:p>
        </w:tc>
        <w:tc>
          <w:tcPr>
            <w:tcW w:w="1093" w:type="dxa"/>
          </w:tcPr>
          <w:p w14:paraId="4DFE128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958" w:type="dxa"/>
          </w:tcPr>
          <w:p w14:paraId="2719A66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1E1088D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7B5E836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73E33A4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F40141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085026F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05F31BB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5A7ACA0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33A4DE6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23736CE" w14:textId="77777777" w:rsidTr="009C2ACE">
        <w:trPr>
          <w:trHeight w:val="470"/>
        </w:trPr>
        <w:tc>
          <w:tcPr>
            <w:tcW w:w="15016" w:type="dxa"/>
            <w:gridSpan w:val="9"/>
            <w:tcBorders>
              <w:right w:val="single" w:sz="4" w:space="0" w:color="auto"/>
            </w:tcBorders>
            <w:shd w:val="clear" w:color="auto" w:fill="E2EFD9"/>
            <w:vAlign w:val="center"/>
          </w:tcPr>
          <w:p w14:paraId="3B3BDA6C" w14:textId="77777777" w:rsidR="00B830DA" w:rsidRPr="00B830DA" w:rsidRDefault="00B830DA" w:rsidP="00B830DA">
            <w:pPr>
              <w:ind w:left="-45" w:right="-31"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1.3.4.2.</w:t>
            </w:r>
          </w:p>
        </w:tc>
      </w:tr>
      <w:tr w:rsidR="00B830DA" w:rsidRPr="00B830DA" w14:paraId="266FCEF3" w14:textId="77777777" w:rsidTr="009C2ACE">
        <w:trPr>
          <w:trHeight w:val="230"/>
        </w:trPr>
        <w:tc>
          <w:tcPr>
            <w:tcW w:w="5777" w:type="dxa"/>
          </w:tcPr>
          <w:p w14:paraId="1B3E40F3"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xml:space="preserve"> Розроблення проекту закону, яким встановлено  механізм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 </w:t>
            </w:r>
          </w:p>
        </w:tc>
        <w:tc>
          <w:tcPr>
            <w:tcW w:w="1093" w:type="dxa"/>
          </w:tcPr>
          <w:p w14:paraId="3E4E620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Листопад 2023 р.</w:t>
            </w:r>
          </w:p>
        </w:tc>
        <w:tc>
          <w:tcPr>
            <w:tcW w:w="958" w:type="dxa"/>
          </w:tcPr>
          <w:p w14:paraId="6013766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Лютий  2023 р.</w:t>
            </w:r>
          </w:p>
        </w:tc>
        <w:tc>
          <w:tcPr>
            <w:tcW w:w="958" w:type="dxa"/>
          </w:tcPr>
          <w:p w14:paraId="65B2B27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1375B05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24FBA28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497A8A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92D052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92" w:type="dxa"/>
          </w:tcPr>
          <w:p w14:paraId="3F2C5D4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сайт </w:t>
            </w:r>
            <w:proofErr w:type="spellStart"/>
            <w:r w:rsidRPr="00B830DA">
              <w:rPr>
                <w:rFonts w:ascii="Times New Roman" w:eastAsia="Times New Roman" w:hAnsi="Times New Roman" w:cs="Times New Roman"/>
                <w:color w:val="000000"/>
                <w:sz w:val="16"/>
                <w:szCs w:val="16"/>
                <w:lang w:eastAsia="uk-UA" w:bidi="uk-UA"/>
              </w:rPr>
              <w:t>Нацдержслужби</w:t>
            </w:r>
            <w:proofErr w:type="spellEnd"/>
            <w:r w:rsidRPr="00B830DA">
              <w:rPr>
                <w:rFonts w:ascii="Times New Roman" w:eastAsia="Times New Roman" w:hAnsi="Times New Roman" w:cs="Times New Roman"/>
                <w:color w:val="000000"/>
                <w:sz w:val="16"/>
                <w:szCs w:val="16"/>
                <w:lang w:eastAsia="uk-UA" w:bidi="uk-UA"/>
              </w:rPr>
              <w:t xml:space="preserve"> (https://ww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24031CA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33093274" w14:textId="77777777" w:rsidTr="009C2ACE">
        <w:trPr>
          <w:trHeight w:val="230"/>
        </w:trPr>
        <w:tc>
          <w:tcPr>
            <w:tcW w:w="5777" w:type="dxa"/>
          </w:tcPr>
          <w:p w14:paraId="2A62F94D"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1.3.4.2., та забезпечення його доопрацювання (у разі потреби).</w:t>
            </w:r>
          </w:p>
        </w:tc>
        <w:tc>
          <w:tcPr>
            <w:tcW w:w="1093" w:type="dxa"/>
          </w:tcPr>
          <w:p w14:paraId="3202BB3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Березень 2024 р.</w:t>
            </w:r>
          </w:p>
        </w:tc>
        <w:tc>
          <w:tcPr>
            <w:tcW w:w="958" w:type="dxa"/>
          </w:tcPr>
          <w:p w14:paraId="2DD5085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Квітень 2024 р.</w:t>
            </w:r>
          </w:p>
        </w:tc>
        <w:tc>
          <w:tcPr>
            <w:tcW w:w="958" w:type="dxa"/>
          </w:tcPr>
          <w:p w14:paraId="60ACF55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664E379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61B6B1C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8CE318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594EB78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3BE455D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сайт </w:t>
            </w:r>
            <w:proofErr w:type="spellStart"/>
            <w:r w:rsidRPr="00B830DA">
              <w:rPr>
                <w:rFonts w:ascii="Times New Roman" w:eastAsia="Times New Roman" w:hAnsi="Times New Roman" w:cs="Times New Roman"/>
                <w:color w:val="000000"/>
                <w:sz w:val="16"/>
                <w:szCs w:val="16"/>
                <w:lang w:eastAsia="uk-UA" w:bidi="uk-UA"/>
              </w:rPr>
              <w:t>Нацдержслужби</w:t>
            </w:r>
            <w:proofErr w:type="spellEnd"/>
            <w:r w:rsidRPr="00B830DA">
              <w:rPr>
                <w:rFonts w:ascii="Times New Roman" w:eastAsia="Times New Roman" w:hAnsi="Times New Roman" w:cs="Times New Roman"/>
                <w:color w:val="000000"/>
                <w:sz w:val="16"/>
                <w:szCs w:val="16"/>
                <w:lang w:eastAsia="uk-UA" w:bidi="uk-UA"/>
              </w:rPr>
              <w:t xml:space="preserve"> (https://ww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41BE0D1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74204361" w14:textId="77777777" w:rsidTr="009C2ACE">
        <w:trPr>
          <w:trHeight w:val="230"/>
        </w:trPr>
        <w:tc>
          <w:tcPr>
            <w:tcW w:w="5777" w:type="dxa"/>
          </w:tcPr>
          <w:p w14:paraId="02E152BA"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1.3.4.2., із заінтересованими органами, проведення правової експертизи, подання до Кабінету Міністрів України та супровід в Уряді.</w:t>
            </w:r>
          </w:p>
        </w:tc>
        <w:tc>
          <w:tcPr>
            <w:tcW w:w="1093" w:type="dxa"/>
          </w:tcPr>
          <w:p w14:paraId="192F611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Травень 2024 р.</w:t>
            </w:r>
          </w:p>
        </w:tc>
        <w:tc>
          <w:tcPr>
            <w:tcW w:w="958" w:type="dxa"/>
          </w:tcPr>
          <w:p w14:paraId="49ACA00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958" w:type="dxa"/>
          </w:tcPr>
          <w:p w14:paraId="7E84E46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4B3AD01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360" w:type="dxa"/>
          </w:tcPr>
          <w:p w14:paraId="2A4D83E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7ACB142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5BD216E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92" w:type="dxa"/>
          </w:tcPr>
          <w:p w14:paraId="25C689C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4CA108B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58D8116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448A576" w14:textId="77777777" w:rsidTr="009C2ACE">
        <w:trPr>
          <w:trHeight w:val="230"/>
        </w:trPr>
        <w:tc>
          <w:tcPr>
            <w:tcW w:w="5777" w:type="dxa"/>
          </w:tcPr>
          <w:p w14:paraId="14C5CB77"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1.3.4.2., у Верховній Раді України (у тому числі, у разі застосування до нього Президентом України права вето).</w:t>
            </w:r>
          </w:p>
        </w:tc>
        <w:tc>
          <w:tcPr>
            <w:tcW w:w="1093" w:type="dxa"/>
          </w:tcPr>
          <w:p w14:paraId="031B450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Липень 2024 р.</w:t>
            </w:r>
          </w:p>
        </w:tc>
        <w:tc>
          <w:tcPr>
            <w:tcW w:w="958" w:type="dxa"/>
          </w:tcPr>
          <w:p w14:paraId="4833411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715496E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roofErr w:type="spellStart"/>
            <w:r w:rsidRPr="00B830DA">
              <w:rPr>
                <w:rFonts w:ascii="Times New Roman" w:eastAsia="Times New Roman" w:hAnsi="Times New Roman" w:cs="Times New Roman"/>
                <w:color w:val="000000"/>
                <w:sz w:val="16"/>
                <w:szCs w:val="16"/>
                <w:lang w:eastAsia="uk-UA" w:bidi="uk-UA"/>
              </w:rPr>
              <w:t>Нацдержслужба</w:t>
            </w:r>
            <w:proofErr w:type="spellEnd"/>
            <w:r w:rsidRPr="00B830DA">
              <w:rPr>
                <w:rFonts w:ascii="Times New Roman" w:eastAsia="Times New Roman" w:hAnsi="Times New Roman" w:cs="Times New Roman"/>
                <w:color w:val="000000"/>
                <w:sz w:val="16"/>
                <w:szCs w:val="16"/>
                <w:lang w:eastAsia="uk-UA" w:bidi="uk-UA"/>
              </w:rPr>
              <w:t>,</w:t>
            </w:r>
          </w:p>
          <w:p w14:paraId="552ED9D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інші заінтересовані органи</w:t>
            </w:r>
          </w:p>
        </w:tc>
        <w:tc>
          <w:tcPr>
            <w:tcW w:w="1360" w:type="dxa"/>
          </w:tcPr>
          <w:p w14:paraId="0167DB8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085EB73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34A8AB8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45C83B0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2D8C945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05233F8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7300797" w14:textId="77777777" w:rsidTr="009C2ACE">
        <w:trPr>
          <w:trHeight w:val="470"/>
        </w:trPr>
        <w:tc>
          <w:tcPr>
            <w:tcW w:w="15016" w:type="dxa"/>
            <w:gridSpan w:val="9"/>
            <w:tcBorders>
              <w:right w:val="single" w:sz="4" w:space="0" w:color="auto"/>
            </w:tcBorders>
            <w:shd w:val="clear" w:color="auto" w:fill="E2EFD9"/>
            <w:vAlign w:val="center"/>
          </w:tcPr>
          <w:p w14:paraId="62007908" w14:textId="77777777" w:rsidR="00B830DA" w:rsidRPr="00B830DA" w:rsidRDefault="00B830DA" w:rsidP="00B830DA">
            <w:pPr>
              <w:ind w:left="-45" w:right="-31"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1.3.4.3.</w:t>
            </w:r>
          </w:p>
        </w:tc>
      </w:tr>
      <w:tr w:rsidR="00B830DA" w:rsidRPr="00B830DA" w14:paraId="25096DA8" w14:textId="77777777" w:rsidTr="009C2ACE">
        <w:trPr>
          <w:trHeight w:val="230"/>
        </w:trPr>
        <w:tc>
          <w:tcPr>
            <w:tcW w:w="5777" w:type="dxa"/>
          </w:tcPr>
          <w:p w14:paraId="18A003F9"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xml:space="preserve"> Щорічний звіт щодо результатів проведення моніторингу ефективності заходів притягнення до відповідальності народних депутатів України, депутатів місцевих рад та виборних осіб </w:t>
            </w:r>
            <w:r w:rsidRPr="00B830DA">
              <w:rPr>
                <w:rFonts w:ascii="Times New Roman" w:eastAsia="Calibri" w:hAnsi="Times New Roman" w:cs="Times New Roman"/>
                <w:sz w:val="20"/>
                <w:szCs w:val="20"/>
                <w:lang w:bidi="uk-UA"/>
              </w:rPr>
              <w:lastRenderedPageBreak/>
              <w:t>місцевого самоврядування за порушення правил етичної поведінки оприлюднено з конкретними рекомендаціями щодо вдосконалення законодавства  практики його застосування.</w:t>
            </w:r>
          </w:p>
        </w:tc>
        <w:tc>
          <w:tcPr>
            <w:tcW w:w="1093" w:type="dxa"/>
          </w:tcPr>
          <w:p w14:paraId="4DC5324F"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 xml:space="preserve">З дня набрання чинності Законом, </w:t>
            </w:r>
            <w:r w:rsidRPr="00B830DA">
              <w:rPr>
                <w:rFonts w:ascii="Times New Roman" w:eastAsia="Times New Roman" w:hAnsi="Times New Roman" w:cs="Times New Roman"/>
                <w:color w:val="000000"/>
                <w:sz w:val="16"/>
                <w:szCs w:val="16"/>
                <w:lang w:eastAsia="uk-UA" w:bidi="uk-UA"/>
              </w:rPr>
              <w:lastRenderedPageBreak/>
              <w:t>передбаченим індикатором 1.1. ОСР 1.3.4.1, або законом, зазначеним в п.2 цієї таблиці</w:t>
            </w:r>
          </w:p>
        </w:tc>
        <w:tc>
          <w:tcPr>
            <w:tcW w:w="958" w:type="dxa"/>
          </w:tcPr>
          <w:p w14:paraId="2127EC26"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Грудень 2025 р</w:t>
            </w:r>
          </w:p>
        </w:tc>
        <w:tc>
          <w:tcPr>
            <w:tcW w:w="958" w:type="dxa"/>
          </w:tcPr>
          <w:p w14:paraId="139B336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4410398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D7BEFF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У межах встановлених бюджетних </w:t>
            </w:r>
            <w:r w:rsidRPr="00B830DA">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493" w:type="dxa"/>
          </w:tcPr>
          <w:p w14:paraId="56B0F31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Проведено моніторинг, за результатами якого складено звіт</w:t>
            </w:r>
          </w:p>
        </w:tc>
        <w:tc>
          <w:tcPr>
            <w:tcW w:w="1092" w:type="dxa"/>
          </w:tcPr>
          <w:p w14:paraId="5D6A09C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26" w:type="dxa"/>
          </w:tcPr>
          <w:p w14:paraId="4805E40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Щорічний звіт не затверджено</w:t>
            </w:r>
          </w:p>
        </w:tc>
      </w:tr>
      <w:tr w:rsidR="00B830DA" w:rsidRPr="00B830DA" w14:paraId="7A7C29D1" w14:textId="77777777" w:rsidTr="009C2ACE">
        <w:trPr>
          <w:trHeight w:val="230"/>
        </w:trPr>
        <w:tc>
          <w:tcPr>
            <w:tcW w:w="5777" w:type="dxa"/>
          </w:tcPr>
          <w:p w14:paraId="75C097B3" w14:textId="77777777" w:rsidR="00B830DA" w:rsidRPr="00B830DA" w:rsidRDefault="00B830DA" w:rsidP="00864C51">
            <w:pPr>
              <w:ind w:firstLine="284"/>
              <w:jc w:val="both"/>
              <w:rPr>
                <w:rFonts w:ascii="Times New Roman" w:eastAsia="Calibri" w:hAnsi="Times New Roman" w:cs="Times New Roman"/>
                <w:sz w:val="20"/>
                <w:szCs w:val="20"/>
                <w:lang w:bidi="uk-UA"/>
              </w:rPr>
            </w:pPr>
            <w:r w:rsidRPr="00864C51">
              <w:rPr>
                <w:rFonts w:ascii="Times New Roman" w:hAnsi="Times New Roman" w:cs="Times New Roman"/>
                <w:b/>
                <w:sz w:val="20"/>
                <w:szCs w:val="20"/>
              </w:rPr>
              <w:t>2.</w:t>
            </w:r>
            <w:r w:rsidRPr="00B830DA">
              <w:rPr>
                <w:rFonts w:ascii="Times New Roman" w:hAnsi="Times New Roman" w:cs="Times New Roman"/>
                <w:sz w:val="20"/>
                <w:szCs w:val="20"/>
              </w:rPr>
              <w:t xml:space="preserve"> Розроблення проекту закону, на підставі рекомендацій, зазначених </w:t>
            </w:r>
            <w:r w:rsidRPr="00B830DA">
              <w:rPr>
                <w:rFonts w:ascii="Times New Roman" w:eastAsia="Times New Roman" w:hAnsi="Times New Roman" w:cs="Times New Roman"/>
                <w:color w:val="000000"/>
                <w:sz w:val="20"/>
                <w:szCs w:val="20"/>
                <w:lang w:eastAsia="uk-UA" w:bidi="uk-UA"/>
              </w:rPr>
              <w:t>у описі заходу 1 до очікуваного стратегічного результату 1.3.4.3.</w:t>
            </w:r>
            <w:r w:rsidRPr="00B830DA">
              <w:rPr>
                <w:rFonts w:ascii="Times New Roman" w:hAnsi="Times New Roman" w:cs="Times New Roman"/>
                <w:sz w:val="20"/>
                <w:szCs w:val="20"/>
              </w:rPr>
              <w:t>,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093" w:type="dxa"/>
          </w:tcPr>
          <w:p w14:paraId="7888ADC7"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місяць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2E7F9FF5"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6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71284CC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3217234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CB1F7B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127A2BC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Розроблено проект закону на підставі рекомендацій</w:t>
            </w:r>
          </w:p>
        </w:tc>
        <w:tc>
          <w:tcPr>
            <w:tcW w:w="1092" w:type="dxa"/>
          </w:tcPr>
          <w:p w14:paraId="73ED955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26" w:type="dxa"/>
          </w:tcPr>
          <w:p w14:paraId="7C87A2C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4A7E6FCC" w14:textId="77777777" w:rsidTr="009C2ACE">
        <w:trPr>
          <w:trHeight w:val="230"/>
        </w:trPr>
        <w:tc>
          <w:tcPr>
            <w:tcW w:w="5777" w:type="dxa"/>
          </w:tcPr>
          <w:p w14:paraId="085D376E"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1.3.4.3., та забезпечення його доопрацювання (у разі потреби).</w:t>
            </w:r>
          </w:p>
        </w:tc>
        <w:tc>
          <w:tcPr>
            <w:tcW w:w="1093" w:type="dxa"/>
          </w:tcPr>
          <w:p w14:paraId="7B243E37"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6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3873BA38"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8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4ABBC21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2012051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E58F15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652F1E6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5BAE04B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сайт </w:t>
            </w:r>
            <w:proofErr w:type="spellStart"/>
            <w:r w:rsidRPr="00B830DA">
              <w:rPr>
                <w:rFonts w:ascii="Times New Roman" w:eastAsia="Times New Roman" w:hAnsi="Times New Roman" w:cs="Times New Roman"/>
                <w:color w:val="000000"/>
                <w:sz w:val="16"/>
                <w:szCs w:val="16"/>
                <w:lang w:eastAsia="uk-UA" w:bidi="uk-UA"/>
              </w:rPr>
              <w:t>Нацдержслужби</w:t>
            </w:r>
            <w:proofErr w:type="spellEnd"/>
            <w:r w:rsidRPr="00B830DA">
              <w:rPr>
                <w:rFonts w:ascii="Times New Roman" w:eastAsia="Times New Roman" w:hAnsi="Times New Roman" w:cs="Times New Roman"/>
                <w:color w:val="000000"/>
                <w:sz w:val="16"/>
                <w:szCs w:val="16"/>
                <w:lang w:eastAsia="uk-UA" w:bidi="uk-UA"/>
              </w:rPr>
              <w:t xml:space="preserve"> (https://ww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3DF7121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bookmarkStart w:id="6" w:name="_GoBack"/>
        <w:bookmarkEnd w:id="6"/>
      </w:tr>
      <w:tr w:rsidR="00B830DA" w:rsidRPr="00B830DA" w14:paraId="5B980D31" w14:textId="77777777" w:rsidTr="009C2ACE">
        <w:trPr>
          <w:trHeight w:val="230"/>
        </w:trPr>
        <w:tc>
          <w:tcPr>
            <w:tcW w:w="5777" w:type="dxa"/>
          </w:tcPr>
          <w:p w14:paraId="6F93C4B7"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1.3.4.3., із заінтересованими органами, проведення правової експертизи, подання до Кабінету Міністрів України та супровід в Уряді.</w:t>
            </w:r>
          </w:p>
        </w:tc>
        <w:tc>
          <w:tcPr>
            <w:tcW w:w="1093" w:type="dxa"/>
          </w:tcPr>
          <w:p w14:paraId="12EE97FF"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8 місяців з моменту оприлюднення звіту, зазначеного в п.1 цієї таблиці, який містить пропозиції </w:t>
            </w:r>
            <w:r w:rsidRPr="00B830DA">
              <w:rPr>
                <w:rFonts w:ascii="Times New Roman" w:eastAsia="Times New Roman" w:hAnsi="Times New Roman" w:cs="Times New Roman"/>
                <w:color w:val="000000"/>
                <w:sz w:val="16"/>
                <w:szCs w:val="16"/>
                <w:lang w:eastAsia="uk-UA" w:bidi="uk-UA"/>
              </w:rPr>
              <w:lastRenderedPageBreak/>
              <w:t>щодо внесення змін до законодавчих актів України</w:t>
            </w:r>
          </w:p>
        </w:tc>
        <w:tc>
          <w:tcPr>
            <w:tcW w:w="958" w:type="dxa"/>
          </w:tcPr>
          <w:p w14:paraId="6649BA52"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 xml:space="preserve">11 місяців з моменту оприлюднення звіту, зазначеного в п.1 цієї таблиці, який містить </w:t>
            </w:r>
            <w:r w:rsidRPr="00B830DA">
              <w:rPr>
                <w:rFonts w:ascii="Times New Roman" w:eastAsia="Times New Roman" w:hAnsi="Times New Roman" w:cs="Times New Roman"/>
                <w:color w:val="000000"/>
                <w:sz w:val="16"/>
                <w:szCs w:val="16"/>
                <w:lang w:eastAsia="uk-UA" w:bidi="uk-UA"/>
              </w:rPr>
              <w:lastRenderedPageBreak/>
              <w:t>пропозиції щодо внесення змін до законодавчих актів України</w:t>
            </w:r>
          </w:p>
        </w:tc>
        <w:tc>
          <w:tcPr>
            <w:tcW w:w="958" w:type="dxa"/>
          </w:tcPr>
          <w:p w14:paraId="357DCDD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lastRenderedPageBreak/>
              <w:t>НАЗК, заінтересовані органи</w:t>
            </w:r>
          </w:p>
        </w:tc>
        <w:tc>
          <w:tcPr>
            <w:tcW w:w="1360" w:type="dxa"/>
          </w:tcPr>
          <w:p w14:paraId="364E296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F969FF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0083C13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92" w:type="dxa"/>
          </w:tcPr>
          <w:p w14:paraId="59991A6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6196A1B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6AC67C3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2B961E5" w14:textId="77777777" w:rsidTr="009C2ACE">
        <w:trPr>
          <w:trHeight w:val="230"/>
        </w:trPr>
        <w:tc>
          <w:tcPr>
            <w:tcW w:w="5777" w:type="dxa"/>
          </w:tcPr>
          <w:p w14:paraId="733EE817"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5.</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1.3.4.3., у Верховній Раді України (у тому числі, у разі застосування до нього Президентом України права вето).</w:t>
            </w:r>
          </w:p>
        </w:tc>
        <w:tc>
          <w:tcPr>
            <w:tcW w:w="1093" w:type="dxa"/>
          </w:tcPr>
          <w:p w14:paraId="4F5AABA5"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11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6477CB5B"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62C149E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інші заінтересовані органи</w:t>
            </w:r>
          </w:p>
        </w:tc>
        <w:tc>
          <w:tcPr>
            <w:tcW w:w="1360" w:type="dxa"/>
          </w:tcPr>
          <w:p w14:paraId="2C3D400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44CEBC0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4A0FAD0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566D117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 України.</w:t>
            </w:r>
          </w:p>
          <w:p w14:paraId="3144307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proofErr w:type="spellStart"/>
            <w:r w:rsidRPr="00B830DA">
              <w:rPr>
                <w:rFonts w:ascii="Times New Roman" w:eastAsia="Times New Roman" w:hAnsi="Times New Roman" w:cs="Times New Roman"/>
                <w:color w:val="000000"/>
                <w:sz w:val="16"/>
                <w:szCs w:val="16"/>
                <w:lang w:eastAsia="uk-UA" w:bidi="uk-UA"/>
              </w:rPr>
              <w:t>вебпортал</w:t>
            </w:r>
            <w:proofErr w:type="spellEnd"/>
            <w:r w:rsidRPr="00B830DA">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26" w:type="dxa"/>
          </w:tcPr>
          <w:p w14:paraId="20031E9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bl>
    <w:p w14:paraId="0CED5C45" w14:textId="77777777" w:rsidR="00B830DA" w:rsidRPr="00B830DA" w:rsidRDefault="00B830DA" w:rsidP="00B830DA"/>
    <w:p w14:paraId="3DC67E62" w14:textId="77777777" w:rsidR="00CC1D5C" w:rsidRPr="001301D3" w:rsidRDefault="00CC1D5C"/>
    <w:sectPr w:rsidR="00CC1D5C" w:rsidRPr="001301D3" w:rsidSect="00010E5B">
      <w:pgSz w:w="16838" w:h="11906" w:orient="landscape"/>
      <w:pgMar w:top="851" w:right="82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A113" w14:textId="77777777" w:rsidR="004610D8" w:rsidRDefault="004610D8" w:rsidP="007535B8">
      <w:pPr>
        <w:spacing w:after="0" w:line="240" w:lineRule="auto"/>
      </w:pPr>
      <w:r>
        <w:separator/>
      </w:r>
    </w:p>
  </w:endnote>
  <w:endnote w:type="continuationSeparator" w:id="0">
    <w:p w14:paraId="5ADECA7F" w14:textId="77777777" w:rsidR="004610D8" w:rsidRDefault="004610D8" w:rsidP="0075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B302" w14:textId="77777777" w:rsidR="004610D8" w:rsidRDefault="004610D8" w:rsidP="007535B8">
      <w:pPr>
        <w:spacing w:after="0" w:line="240" w:lineRule="auto"/>
      </w:pPr>
      <w:r>
        <w:separator/>
      </w:r>
    </w:p>
  </w:footnote>
  <w:footnote w:type="continuationSeparator" w:id="0">
    <w:p w14:paraId="621081F8" w14:textId="77777777" w:rsidR="004610D8" w:rsidRDefault="004610D8" w:rsidP="007535B8">
      <w:pPr>
        <w:spacing w:after="0" w:line="240" w:lineRule="auto"/>
      </w:pPr>
      <w:r>
        <w:continuationSeparator/>
      </w:r>
    </w:p>
  </w:footnote>
  <w:footnote w:id="1">
    <w:p w14:paraId="08F980E3" w14:textId="77777777" w:rsidR="009C2ACE" w:rsidRPr="00623105" w:rsidRDefault="009C2ACE" w:rsidP="00B830DA">
      <w:pPr>
        <w:pStyle w:val="a4"/>
        <w:jc w:val="both"/>
        <w:rPr>
          <w:rFonts w:ascii="Times New Roman" w:hAnsi="Times New Roman"/>
          <w:lang w:val="uk-UA"/>
        </w:rPr>
      </w:pPr>
      <w:r>
        <w:rPr>
          <w:rStyle w:val="a6"/>
        </w:rPr>
        <w:footnoteRef/>
      </w:r>
      <w:r w:rsidRPr="00623105">
        <w:rPr>
          <w:lang w:val="uk-UA"/>
        </w:rPr>
        <w:t xml:space="preserve"> </w:t>
      </w:r>
      <w:r w:rsidRPr="00623105">
        <w:rPr>
          <w:rFonts w:ascii="Times New Roman" w:hAnsi="Times New Roman"/>
          <w:lang w:val="uk-UA"/>
        </w:rPr>
        <w:t xml:space="preserve">Див.: ст. 8 Конвенції ООН проти корупції за посиланням: </w:t>
      </w:r>
      <w:proofErr w:type="spellStart"/>
      <w:r w:rsidRPr="00623105">
        <w:rPr>
          <w:rFonts w:ascii="Times New Roman" w:hAnsi="Times New Roman"/>
        </w:rPr>
        <w:t>https</w:t>
      </w:r>
      <w:proofErr w:type="spellEnd"/>
      <w:r w:rsidRPr="00623105">
        <w:rPr>
          <w:rFonts w:ascii="Times New Roman" w:hAnsi="Times New Roman"/>
          <w:lang w:val="uk-UA"/>
        </w:rPr>
        <w:t>://</w:t>
      </w:r>
      <w:proofErr w:type="spellStart"/>
      <w:r w:rsidRPr="00623105">
        <w:rPr>
          <w:rFonts w:ascii="Times New Roman" w:hAnsi="Times New Roman"/>
        </w:rPr>
        <w:t>zakon</w:t>
      </w:r>
      <w:proofErr w:type="spellEnd"/>
      <w:r w:rsidRPr="00623105">
        <w:rPr>
          <w:rFonts w:ascii="Times New Roman" w:hAnsi="Times New Roman"/>
          <w:lang w:val="uk-UA"/>
        </w:rPr>
        <w:t>.</w:t>
      </w:r>
      <w:proofErr w:type="spellStart"/>
      <w:r w:rsidRPr="00623105">
        <w:rPr>
          <w:rFonts w:ascii="Times New Roman" w:hAnsi="Times New Roman"/>
        </w:rPr>
        <w:t>rada</w:t>
      </w:r>
      <w:proofErr w:type="spellEnd"/>
      <w:r w:rsidRPr="00623105">
        <w:rPr>
          <w:rFonts w:ascii="Times New Roman" w:hAnsi="Times New Roman"/>
          <w:lang w:val="uk-UA"/>
        </w:rPr>
        <w:t>.</w:t>
      </w:r>
      <w:proofErr w:type="spellStart"/>
      <w:r w:rsidRPr="00623105">
        <w:rPr>
          <w:rFonts w:ascii="Times New Roman" w:hAnsi="Times New Roman"/>
        </w:rPr>
        <w:t>gov</w:t>
      </w:r>
      <w:proofErr w:type="spellEnd"/>
      <w:r w:rsidRPr="00623105">
        <w:rPr>
          <w:rFonts w:ascii="Times New Roman" w:hAnsi="Times New Roman"/>
          <w:lang w:val="uk-UA"/>
        </w:rPr>
        <w:t>.</w:t>
      </w:r>
      <w:proofErr w:type="spellStart"/>
      <w:r w:rsidRPr="00623105">
        <w:rPr>
          <w:rFonts w:ascii="Times New Roman" w:hAnsi="Times New Roman"/>
        </w:rPr>
        <w:t>ua</w:t>
      </w:r>
      <w:proofErr w:type="spellEnd"/>
      <w:r w:rsidRPr="00623105">
        <w:rPr>
          <w:rFonts w:ascii="Times New Roman" w:hAnsi="Times New Roman"/>
          <w:lang w:val="uk-UA"/>
        </w:rPr>
        <w:t>/</w:t>
      </w:r>
      <w:proofErr w:type="spellStart"/>
      <w:r w:rsidRPr="00623105">
        <w:rPr>
          <w:rFonts w:ascii="Times New Roman" w:hAnsi="Times New Roman"/>
        </w:rPr>
        <w:t>laws</w:t>
      </w:r>
      <w:proofErr w:type="spellEnd"/>
      <w:r w:rsidRPr="00623105">
        <w:rPr>
          <w:rFonts w:ascii="Times New Roman" w:hAnsi="Times New Roman"/>
          <w:lang w:val="uk-UA"/>
        </w:rPr>
        <w:t>/</w:t>
      </w:r>
      <w:proofErr w:type="spellStart"/>
      <w:r w:rsidRPr="00623105">
        <w:rPr>
          <w:rFonts w:ascii="Times New Roman" w:hAnsi="Times New Roman"/>
        </w:rPr>
        <w:t>show</w:t>
      </w:r>
      <w:proofErr w:type="spellEnd"/>
      <w:r w:rsidRPr="00623105">
        <w:rPr>
          <w:rFonts w:ascii="Times New Roman" w:hAnsi="Times New Roman"/>
          <w:lang w:val="uk-UA"/>
        </w:rPr>
        <w:t>/995_</w:t>
      </w:r>
      <w:r w:rsidRPr="00623105">
        <w:rPr>
          <w:rFonts w:ascii="Times New Roman" w:hAnsi="Times New Roman"/>
        </w:rPr>
        <w:t>c</w:t>
      </w:r>
      <w:r w:rsidRPr="00623105">
        <w:rPr>
          <w:rFonts w:ascii="Times New Roman" w:hAnsi="Times New Roman"/>
          <w:lang w:val="uk-UA"/>
        </w:rPr>
        <w:t>16#</w:t>
      </w:r>
      <w:proofErr w:type="spellStart"/>
      <w:r w:rsidRPr="00623105">
        <w:rPr>
          <w:rFonts w:ascii="Times New Roman" w:hAnsi="Times New Roman"/>
        </w:rPr>
        <w:t>Text</w:t>
      </w:r>
      <w:proofErr w:type="spellEnd"/>
      <w:r w:rsidRPr="00623105">
        <w:rPr>
          <w:rFonts w:ascii="Times New Roman" w:hAnsi="Times New Roman"/>
          <w:lang w:val="uk-UA"/>
        </w:rPr>
        <w:t>;</w:t>
      </w:r>
    </w:p>
  </w:footnote>
  <w:footnote w:id="2">
    <w:p w14:paraId="66D23252" w14:textId="77777777" w:rsidR="009C2ACE" w:rsidRPr="00371438" w:rsidRDefault="009C2ACE" w:rsidP="00B830DA">
      <w:pPr>
        <w:pStyle w:val="a4"/>
        <w:jc w:val="both"/>
        <w:rPr>
          <w:rFonts w:ascii="Times New Roman" w:hAnsi="Times New Roman"/>
          <w:lang w:val="uk-UA"/>
        </w:rPr>
      </w:pPr>
      <w:r w:rsidRPr="00371438">
        <w:rPr>
          <w:rStyle w:val="a6"/>
          <w:rFonts w:ascii="Times New Roman" w:hAnsi="Times New Roman"/>
          <w:lang w:val="uk-UA"/>
        </w:rPr>
        <w:footnoteRef/>
      </w:r>
      <w:r w:rsidRPr="00371438">
        <w:rPr>
          <w:rFonts w:ascii="Times New Roman" w:hAnsi="Times New Roman"/>
          <w:lang w:val="uk-UA"/>
        </w:rPr>
        <w:t xml:space="preserve"> Див.: Звіт за результатами оцінки в межах Четвертого раунду оцінювання «Запобігання корупції серед народних депутатів, суддів та прокурорів», </w:t>
      </w:r>
      <w:proofErr w:type="spellStart"/>
      <w:r w:rsidRPr="00371438">
        <w:rPr>
          <w:rFonts w:ascii="Times New Roman" w:hAnsi="Times New Roman"/>
          <w:lang w:val="uk-UA"/>
        </w:rPr>
        <w:t>стор</w:t>
      </w:r>
      <w:proofErr w:type="spellEnd"/>
      <w:r w:rsidRPr="00371438">
        <w:rPr>
          <w:rFonts w:ascii="Times New Roman" w:hAnsi="Times New Roman"/>
          <w:lang w:val="uk-UA"/>
        </w:rPr>
        <w:t>. 70, доступний за посиланням: https://cutt.ly/bVmmgyb</w:t>
      </w:r>
    </w:p>
  </w:footnote>
  <w:footnote w:id="3">
    <w:p w14:paraId="28E153EC" w14:textId="77777777" w:rsidR="009C2ACE" w:rsidRPr="00623105" w:rsidRDefault="009C2ACE" w:rsidP="00B830DA">
      <w:pPr>
        <w:pStyle w:val="a4"/>
        <w:jc w:val="both"/>
        <w:rPr>
          <w:rFonts w:ascii="Times New Roman" w:hAnsi="Times New Roman"/>
          <w:lang w:val="uk-UA"/>
        </w:rPr>
      </w:pPr>
      <w:r>
        <w:rPr>
          <w:rStyle w:val="a6"/>
        </w:rPr>
        <w:footnoteRef/>
      </w:r>
      <w:r w:rsidRPr="00623105">
        <w:rPr>
          <w:lang w:val="uk-UA"/>
        </w:rPr>
        <w:t xml:space="preserve"> </w:t>
      </w:r>
      <w:r w:rsidRPr="00623105">
        <w:rPr>
          <w:rFonts w:ascii="Times New Roman" w:hAnsi="Times New Roman"/>
          <w:lang w:val="uk-UA"/>
        </w:rPr>
        <w:t xml:space="preserve">Див: </w:t>
      </w:r>
      <w:r w:rsidRPr="00623105">
        <w:rPr>
          <w:rFonts w:ascii="Times New Roman" w:hAnsi="Times New Roman"/>
          <w:lang w:val="uk-UA" w:bidi="uk-UA"/>
        </w:rPr>
        <w:t xml:space="preserve">Доповідь та дорожня карта щодо внутрішньої реформи та підвищення інституційної спроможності Верховної Ради України за посиланням:  </w:t>
      </w:r>
      <w:hyperlink r:id="rId1" w:history="1">
        <w:r w:rsidRPr="00623105">
          <w:rPr>
            <w:rStyle w:val="a7"/>
            <w:rFonts w:ascii="Times New Roman" w:hAnsi="Times New Roman"/>
            <w:lang w:val="uk-UA" w:bidi="uk-UA"/>
          </w:rPr>
          <w:t>https://cutt.ly/cVvzDWK</w:t>
        </w:r>
      </w:hyperlink>
      <w:r w:rsidRPr="00623105">
        <w:rPr>
          <w:rFonts w:ascii="Times New Roman" w:hAnsi="Times New Roman"/>
          <w:lang w:val="uk-UA" w:bidi="uk-UA"/>
        </w:rPr>
        <w:t xml:space="preserve">. </w:t>
      </w:r>
    </w:p>
  </w:footnote>
  <w:footnote w:id="4">
    <w:p w14:paraId="675D604B" w14:textId="77777777" w:rsidR="009C2ACE" w:rsidRPr="003304BD" w:rsidRDefault="009C2ACE" w:rsidP="00B830DA">
      <w:pPr>
        <w:pStyle w:val="a4"/>
        <w:jc w:val="both"/>
      </w:pPr>
      <w:r>
        <w:rPr>
          <w:rStyle w:val="a6"/>
        </w:rPr>
        <w:footnoteRef/>
      </w:r>
      <w:r w:rsidRPr="009F36E9">
        <w:rPr>
          <w:lang w:val="uk-UA"/>
        </w:rPr>
        <w:t xml:space="preserve"> </w:t>
      </w:r>
      <w:r w:rsidRPr="009F36E9">
        <w:rPr>
          <w:rFonts w:ascii="Times New Roman" w:hAnsi="Times New Roman"/>
          <w:lang w:val="uk-UA" w:bidi="uk-UA"/>
        </w:rPr>
        <w:t>Показовими з огляду на це є результати соціологічного дослідження,</w:t>
      </w:r>
      <w:r w:rsidRPr="009F36E9">
        <w:rPr>
          <w:rFonts w:ascii="Times New Roman" w:hAnsi="Times New Roman"/>
          <w:i/>
          <w:iCs/>
          <w:lang w:val="uk-UA" w:bidi="uk-UA"/>
        </w:rPr>
        <w:t xml:space="preserve"> </w:t>
      </w:r>
      <w:r w:rsidRPr="009F36E9">
        <w:rPr>
          <w:rFonts w:ascii="Times New Roman" w:hAnsi="Times New Roman"/>
          <w:iCs/>
          <w:lang w:val="uk-UA" w:bidi="uk-UA"/>
        </w:rPr>
        <w:t xml:space="preserve">проведеного Фондом «Демократичні ініціативи» імені Ілька </w:t>
      </w:r>
      <w:proofErr w:type="spellStart"/>
      <w:r w:rsidRPr="009F36E9">
        <w:rPr>
          <w:rFonts w:ascii="Times New Roman" w:hAnsi="Times New Roman"/>
          <w:iCs/>
          <w:lang w:val="uk-UA" w:bidi="uk-UA"/>
        </w:rPr>
        <w:t>Кучеріва</w:t>
      </w:r>
      <w:proofErr w:type="spellEnd"/>
      <w:r w:rsidRPr="009F36E9">
        <w:rPr>
          <w:rFonts w:ascii="Times New Roman" w:hAnsi="Times New Roman"/>
          <w:iCs/>
          <w:lang w:val="uk-UA" w:bidi="uk-UA"/>
        </w:rPr>
        <w:t xml:space="preserve"> спільно з Київським міжнародним інститутом соціології у червні 2021 року. </w:t>
      </w:r>
      <w:r w:rsidRPr="003304BD">
        <w:rPr>
          <w:rFonts w:ascii="Times New Roman" w:hAnsi="Times New Roman"/>
          <w:iCs/>
          <w:lang w:val="uk-UA" w:bidi="uk-UA"/>
        </w:rPr>
        <w:t xml:space="preserve">Недовіру політичним партіям висловлено 72.4 % опитаних респондентів. </w:t>
      </w:r>
      <w:r w:rsidRPr="009F36E9">
        <w:rPr>
          <w:rFonts w:ascii="Times New Roman" w:hAnsi="Times New Roman"/>
          <w:iCs/>
          <w:lang w:val="uk-UA" w:bidi="uk-UA"/>
        </w:rPr>
        <w:t xml:space="preserve">Найбільш поширеними причинами недовіри до партій є корумпованість партій, залежність партій від олігархів та </w:t>
      </w:r>
      <w:r w:rsidRPr="009F36E9">
        <w:rPr>
          <w:rFonts w:ascii="Times New Roman" w:hAnsi="Times New Roman"/>
          <w:i/>
          <w:iCs/>
          <w:lang w:val="uk-UA" w:bidi="uk-UA"/>
        </w:rPr>
        <w:t>низький рівень політичної культури партійців</w:t>
      </w:r>
      <w:r w:rsidRPr="009F36E9">
        <w:rPr>
          <w:rFonts w:ascii="Times New Roman" w:hAnsi="Times New Roman"/>
          <w:iCs/>
          <w:lang w:val="uk-UA" w:bidi="uk-UA"/>
        </w:rPr>
        <w:t>.</w:t>
      </w:r>
      <w:r w:rsidRPr="003304BD">
        <w:rPr>
          <w:rFonts w:ascii="Times New Roman" w:eastAsiaTheme="minorHAnsi" w:hAnsi="Times New Roman" w:cstheme="minorBidi"/>
          <w:iCs/>
          <w:sz w:val="22"/>
          <w:szCs w:val="22"/>
          <w:lang w:val="uk-UA" w:bidi="uk-UA"/>
        </w:rPr>
        <w:t xml:space="preserve"> </w:t>
      </w:r>
      <w:r w:rsidRPr="003304BD">
        <w:rPr>
          <w:rFonts w:ascii="Times New Roman" w:hAnsi="Times New Roman"/>
          <w:iCs/>
          <w:lang w:val="uk-UA" w:bidi="uk-UA"/>
        </w:rPr>
        <w:t>З результатами соціологічного опитування можливо ознайомитися за посиланням: https://cutt.ly/wVvirMu</w:t>
      </w:r>
    </w:p>
  </w:footnote>
  <w:footnote w:id="5">
    <w:p w14:paraId="04441C1B" w14:textId="77777777" w:rsidR="009C2ACE" w:rsidRPr="00371438" w:rsidRDefault="009C2ACE" w:rsidP="00B830DA">
      <w:pPr>
        <w:pStyle w:val="a4"/>
        <w:jc w:val="both"/>
        <w:rPr>
          <w:rFonts w:ascii="Times New Roman" w:hAnsi="Times New Roman"/>
          <w:lang w:val="uk-UA"/>
        </w:rPr>
      </w:pPr>
      <w:r w:rsidRPr="00371438">
        <w:rPr>
          <w:rStyle w:val="a6"/>
          <w:lang w:val="uk-UA"/>
        </w:rPr>
        <w:footnoteRef/>
      </w:r>
      <w:r w:rsidRPr="00371438">
        <w:rPr>
          <w:lang w:val="uk-UA"/>
        </w:rPr>
        <w:t xml:space="preserve"> </w:t>
      </w:r>
      <w:r w:rsidRPr="00371438">
        <w:rPr>
          <w:rFonts w:ascii="Times New Roman" w:hAnsi="Times New Roman"/>
          <w:lang w:val="uk-UA"/>
        </w:rPr>
        <w:t>Р</w:t>
      </w:r>
      <w:r w:rsidRPr="00371438">
        <w:rPr>
          <w:rFonts w:ascii="Times New Roman" w:eastAsia="Times New Roman" w:hAnsi="Times New Roman"/>
          <w:color w:val="000000"/>
          <w:lang w:val="uk-UA" w:eastAsia="uk-UA" w:bidi="uk-UA"/>
        </w:rPr>
        <w:t>езультати всеукраїнського соціологічного опитування, проведеного громадською організацією «Інститут соціальних технологій «</w:t>
      </w:r>
      <w:proofErr w:type="spellStart"/>
      <w:r w:rsidRPr="00371438">
        <w:rPr>
          <w:rFonts w:ascii="Times New Roman" w:eastAsia="Times New Roman" w:hAnsi="Times New Roman"/>
          <w:color w:val="000000"/>
          <w:lang w:val="uk-UA" w:eastAsia="uk-UA" w:bidi="uk-UA"/>
        </w:rPr>
        <w:t>Соціополіс</w:t>
      </w:r>
      <w:proofErr w:type="spellEnd"/>
      <w:r w:rsidRPr="00371438">
        <w:rPr>
          <w:rFonts w:ascii="Times New Roman" w:eastAsia="Times New Roman" w:hAnsi="Times New Roman"/>
          <w:color w:val="000000"/>
          <w:lang w:val="uk-UA" w:eastAsia="uk-UA" w:bidi="uk-UA"/>
        </w:rPr>
        <w:t xml:space="preserve">»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 </w:t>
      </w:r>
      <w:r w:rsidRPr="00371438">
        <w:rPr>
          <w:rFonts w:ascii="Times New Roman" w:hAnsi="Times New Roman"/>
          <w:lang w:val="uk-UA"/>
        </w:rPr>
        <w:t xml:space="preserve">Понад половина опитаних (54,2%) оцінили рівень дотримання народними депутатами норм депутатської етики в 1 бал за 5-бальною шкалою, тобто, на їхню, думку народні депутати повністю не дотримувалися етичних норм. Результати опитування доступні за посиланням: </w:t>
      </w:r>
      <w:hyperlink r:id="rId2" w:history="1">
        <w:r w:rsidRPr="00371438">
          <w:rPr>
            <w:rStyle w:val="a7"/>
            <w:rFonts w:ascii="Times New Roman" w:hAnsi="Times New Roman"/>
            <w:lang w:val="uk-UA"/>
          </w:rPr>
          <w:t>https://cutt.ly/3VvsF76</w:t>
        </w:r>
      </w:hyperlink>
      <w:r w:rsidRPr="00371438">
        <w:rPr>
          <w:rFonts w:ascii="Times New Roman" w:hAnsi="Times New Roman"/>
          <w:lang w:val="uk-UA"/>
        </w:rPr>
        <w:t xml:space="preserve"> (</w:t>
      </w:r>
      <w:proofErr w:type="spellStart"/>
      <w:r w:rsidRPr="00371438">
        <w:rPr>
          <w:rFonts w:ascii="Times New Roman" w:hAnsi="Times New Roman"/>
          <w:lang w:val="uk-UA"/>
        </w:rPr>
        <w:t>стор</w:t>
      </w:r>
      <w:proofErr w:type="spellEnd"/>
      <w:r w:rsidRPr="00371438">
        <w:rPr>
          <w:rFonts w:ascii="Times New Roman" w:hAnsi="Times New Roman"/>
          <w:lang w:val="uk-UA"/>
        </w:rPr>
        <w:t>. 15).</w:t>
      </w:r>
    </w:p>
  </w:footnote>
  <w:footnote w:id="6">
    <w:p w14:paraId="43F6D8C7" w14:textId="77777777" w:rsidR="009C2ACE" w:rsidRPr="0085271B" w:rsidRDefault="009C2ACE" w:rsidP="00B830DA">
      <w:pPr>
        <w:shd w:val="clear" w:color="auto" w:fill="FFFFFF"/>
        <w:spacing w:after="0" w:line="240" w:lineRule="auto"/>
        <w:jc w:val="both"/>
      </w:pPr>
      <w:r w:rsidRPr="009F36E9">
        <w:rPr>
          <w:rStyle w:val="a6"/>
          <w:sz w:val="20"/>
          <w:szCs w:val="20"/>
        </w:rPr>
        <w:footnoteRef/>
      </w:r>
      <w:r w:rsidRPr="009F36E9">
        <w:rPr>
          <w:sz w:val="20"/>
          <w:szCs w:val="20"/>
        </w:rPr>
        <w:t xml:space="preserve"> </w:t>
      </w:r>
      <w:r w:rsidRPr="009F36E9">
        <w:rPr>
          <w:rFonts w:ascii="Times New Roman" w:eastAsia="Times New Roman" w:hAnsi="Times New Roman" w:cs="Times New Roman"/>
          <w:sz w:val="20"/>
          <w:szCs w:val="20"/>
          <w:shd w:val="clear" w:color="auto" w:fill="FFFFFF"/>
          <w:lang w:eastAsia="uk-UA"/>
        </w:rPr>
        <w:t>Так, 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w:t>
      </w:r>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заходів</w:t>
      </w:r>
      <w:proofErr w:type="spellEnd"/>
      <w:r w:rsidRPr="009F36E9">
        <w:rPr>
          <w:rFonts w:ascii="Times New Roman" w:eastAsia="Times New Roman" w:hAnsi="Times New Roman" w:cs="Times New Roman"/>
          <w:sz w:val="20"/>
          <w:szCs w:val="20"/>
          <w:shd w:val="clear" w:color="auto" w:fill="FFFFFF"/>
          <w:lang w:val="ru-RU" w:eastAsia="uk-UA"/>
        </w:rPr>
        <w:t xml:space="preserve"> для </w:t>
      </w:r>
      <w:proofErr w:type="spellStart"/>
      <w:r w:rsidRPr="009F36E9">
        <w:rPr>
          <w:rFonts w:ascii="Times New Roman" w:eastAsia="Times New Roman" w:hAnsi="Times New Roman" w:cs="Times New Roman"/>
          <w:sz w:val="20"/>
          <w:szCs w:val="20"/>
          <w:shd w:val="clear" w:color="auto" w:fill="FFFFFF"/>
          <w:lang w:val="ru-RU" w:eastAsia="uk-UA"/>
        </w:rPr>
        <w:t>додержання</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державними</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службовцями</w:t>
      </w:r>
      <w:proofErr w:type="spellEnd"/>
      <w:r w:rsidRPr="009F36E9">
        <w:rPr>
          <w:rFonts w:ascii="Times New Roman" w:eastAsia="Times New Roman" w:hAnsi="Times New Roman" w:cs="Times New Roman"/>
          <w:sz w:val="20"/>
          <w:szCs w:val="20"/>
          <w:shd w:val="clear" w:color="auto" w:fill="FFFFFF"/>
          <w:lang w:val="ru-RU" w:eastAsia="uk-UA"/>
        </w:rPr>
        <w:t xml:space="preserve"> правил </w:t>
      </w:r>
      <w:proofErr w:type="spellStart"/>
      <w:r w:rsidRPr="009F36E9">
        <w:rPr>
          <w:rFonts w:ascii="Times New Roman" w:eastAsia="Times New Roman" w:hAnsi="Times New Roman" w:cs="Times New Roman"/>
          <w:sz w:val="20"/>
          <w:szCs w:val="20"/>
          <w:shd w:val="clear" w:color="auto" w:fill="FFFFFF"/>
          <w:lang w:val="ru-RU" w:eastAsia="uk-UA"/>
        </w:rPr>
        <w:t>етичної</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поведінки</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покладено</w:t>
      </w:r>
      <w:proofErr w:type="spellEnd"/>
      <w:r w:rsidRPr="009F36E9">
        <w:rPr>
          <w:rFonts w:ascii="Times New Roman" w:eastAsia="Times New Roman" w:hAnsi="Times New Roman" w:cs="Times New Roman"/>
          <w:sz w:val="20"/>
          <w:szCs w:val="20"/>
          <w:shd w:val="clear" w:color="auto" w:fill="FFFFFF"/>
          <w:lang w:val="ru-RU" w:eastAsia="uk-UA"/>
        </w:rPr>
        <w:t xml:space="preserve"> на </w:t>
      </w:r>
      <w:proofErr w:type="spellStart"/>
      <w:r w:rsidRPr="009F36E9">
        <w:rPr>
          <w:rFonts w:ascii="Times New Roman" w:eastAsia="Times New Roman" w:hAnsi="Times New Roman" w:cs="Times New Roman"/>
          <w:sz w:val="20"/>
          <w:szCs w:val="20"/>
          <w:shd w:val="clear" w:color="auto" w:fill="FFFFFF"/>
          <w:lang w:val="ru-RU" w:eastAsia="uk-UA"/>
        </w:rPr>
        <w:t>керівника</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державної</w:t>
      </w:r>
      <w:proofErr w:type="spellEnd"/>
      <w:r w:rsidRPr="009F36E9">
        <w:rPr>
          <w:rFonts w:ascii="Times New Roman" w:eastAsia="Times New Roman" w:hAnsi="Times New Roman" w:cs="Times New Roman"/>
          <w:sz w:val="20"/>
          <w:szCs w:val="20"/>
          <w:shd w:val="clear" w:color="auto" w:fill="FFFFFF"/>
          <w:lang w:val="ru-RU" w:eastAsia="uk-UA"/>
        </w:rPr>
        <w:t xml:space="preserve"> </w:t>
      </w:r>
      <w:proofErr w:type="spellStart"/>
      <w:r w:rsidRPr="009F36E9">
        <w:rPr>
          <w:rFonts w:ascii="Times New Roman" w:eastAsia="Times New Roman" w:hAnsi="Times New Roman" w:cs="Times New Roman"/>
          <w:sz w:val="20"/>
          <w:szCs w:val="20"/>
          <w:shd w:val="clear" w:color="auto" w:fill="FFFFFF"/>
          <w:lang w:val="ru-RU" w:eastAsia="uk-UA"/>
        </w:rPr>
        <w:t>служби</w:t>
      </w:r>
      <w:proofErr w:type="spellEnd"/>
      <w:r w:rsidRPr="009F36E9">
        <w:rPr>
          <w:rFonts w:ascii="Times New Roman" w:eastAsia="Times New Roman" w:hAnsi="Times New Roman" w:cs="Times New Roman"/>
          <w:sz w:val="20"/>
          <w:szCs w:val="20"/>
          <w:shd w:val="clear" w:color="auto" w:fill="FFFFFF"/>
          <w:lang w:val="ru-RU" w:eastAsia="uk-UA"/>
        </w:rPr>
        <w:t xml:space="preserve"> (</w:t>
      </w:r>
      <w:r w:rsidRPr="009F36E9">
        <w:rPr>
          <w:rFonts w:ascii="Times New Roman" w:eastAsia="Times New Roman" w:hAnsi="Times New Roman" w:cs="Times New Roman"/>
          <w:sz w:val="20"/>
          <w:szCs w:val="20"/>
          <w:shd w:val="clear" w:color="auto" w:fill="FFFFFF"/>
          <w:lang w:eastAsia="uk-UA"/>
        </w:rPr>
        <w:t>ст. 63 Закону України «Про державну службу»).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041D"/>
    <w:rsid w:val="00007068"/>
    <w:rsid w:val="00010E5B"/>
    <w:rsid w:val="00014405"/>
    <w:rsid w:val="00015D23"/>
    <w:rsid w:val="00023FF5"/>
    <w:rsid w:val="000324D4"/>
    <w:rsid w:val="000559CB"/>
    <w:rsid w:val="00082E12"/>
    <w:rsid w:val="000B7094"/>
    <w:rsid w:val="00113F85"/>
    <w:rsid w:val="0011486E"/>
    <w:rsid w:val="00123CCF"/>
    <w:rsid w:val="001301D3"/>
    <w:rsid w:val="001402BB"/>
    <w:rsid w:val="00151E69"/>
    <w:rsid w:val="00161A77"/>
    <w:rsid w:val="00183684"/>
    <w:rsid w:val="00185095"/>
    <w:rsid w:val="001A34F1"/>
    <w:rsid w:val="001A4F82"/>
    <w:rsid w:val="001C3764"/>
    <w:rsid w:val="001D0A94"/>
    <w:rsid w:val="001D0FC0"/>
    <w:rsid w:val="001E2E21"/>
    <w:rsid w:val="001E6070"/>
    <w:rsid w:val="002171FC"/>
    <w:rsid w:val="0024419A"/>
    <w:rsid w:val="00256BEA"/>
    <w:rsid w:val="00277C1F"/>
    <w:rsid w:val="002A6E5A"/>
    <w:rsid w:val="002B293B"/>
    <w:rsid w:val="002C122C"/>
    <w:rsid w:val="00306DAC"/>
    <w:rsid w:val="00361F21"/>
    <w:rsid w:val="003622AF"/>
    <w:rsid w:val="00362690"/>
    <w:rsid w:val="00366F7F"/>
    <w:rsid w:val="003729EB"/>
    <w:rsid w:val="003879B7"/>
    <w:rsid w:val="003B6791"/>
    <w:rsid w:val="003D6D56"/>
    <w:rsid w:val="004166CE"/>
    <w:rsid w:val="00421164"/>
    <w:rsid w:val="00453C0C"/>
    <w:rsid w:val="004610D8"/>
    <w:rsid w:val="004657C1"/>
    <w:rsid w:val="00516FEC"/>
    <w:rsid w:val="00524D80"/>
    <w:rsid w:val="00537EAA"/>
    <w:rsid w:val="00553EDA"/>
    <w:rsid w:val="005B16E4"/>
    <w:rsid w:val="005C5AAF"/>
    <w:rsid w:val="005D4A82"/>
    <w:rsid w:val="006117E6"/>
    <w:rsid w:val="00614221"/>
    <w:rsid w:val="006242C9"/>
    <w:rsid w:val="00653E44"/>
    <w:rsid w:val="00654C83"/>
    <w:rsid w:val="0069075D"/>
    <w:rsid w:val="0069512E"/>
    <w:rsid w:val="006E5B92"/>
    <w:rsid w:val="006F396C"/>
    <w:rsid w:val="007535B8"/>
    <w:rsid w:val="00761F8C"/>
    <w:rsid w:val="007E5A37"/>
    <w:rsid w:val="007F29E1"/>
    <w:rsid w:val="007F6CB8"/>
    <w:rsid w:val="00812731"/>
    <w:rsid w:val="00864C51"/>
    <w:rsid w:val="008652D0"/>
    <w:rsid w:val="008A542B"/>
    <w:rsid w:val="008B474E"/>
    <w:rsid w:val="008E3A86"/>
    <w:rsid w:val="009416FA"/>
    <w:rsid w:val="0094540C"/>
    <w:rsid w:val="009609E4"/>
    <w:rsid w:val="00996FDD"/>
    <w:rsid w:val="009C2ACE"/>
    <w:rsid w:val="009C2CE6"/>
    <w:rsid w:val="009F677D"/>
    <w:rsid w:val="00A020AE"/>
    <w:rsid w:val="00A17BFF"/>
    <w:rsid w:val="00A266C4"/>
    <w:rsid w:val="00A610C0"/>
    <w:rsid w:val="00A6547F"/>
    <w:rsid w:val="00A73AA3"/>
    <w:rsid w:val="00AB515C"/>
    <w:rsid w:val="00AD3FF9"/>
    <w:rsid w:val="00B01FCC"/>
    <w:rsid w:val="00B17B49"/>
    <w:rsid w:val="00B3237B"/>
    <w:rsid w:val="00B43BB0"/>
    <w:rsid w:val="00B67EF9"/>
    <w:rsid w:val="00B7272A"/>
    <w:rsid w:val="00B830DA"/>
    <w:rsid w:val="00B955F0"/>
    <w:rsid w:val="00B971B8"/>
    <w:rsid w:val="00BA7F8A"/>
    <w:rsid w:val="00BB7C78"/>
    <w:rsid w:val="00BD44DC"/>
    <w:rsid w:val="00BE36CE"/>
    <w:rsid w:val="00BE3795"/>
    <w:rsid w:val="00C04E73"/>
    <w:rsid w:val="00C141B2"/>
    <w:rsid w:val="00C6121B"/>
    <w:rsid w:val="00CC1D5C"/>
    <w:rsid w:val="00CE520E"/>
    <w:rsid w:val="00D40AE2"/>
    <w:rsid w:val="00D8328D"/>
    <w:rsid w:val="00D917A4"/>
    <w:rsid w:val="00DB2B52"/>
    <w:rsid w:val="00DD43EA"/>
    <w:rsid w:val="00DF0FE2"/>
    <w:rsid w:val="00E15EE6"/>
    <w:rsid w:val="00E21D4D"/>
    <w:rsid w:val="00E42F6B"/>
    <w:rsid w:val="00E6068C"/>
    <w:rsid w:val="00E9571B"/>
    <w:rsid w:val="00E95B48"/>
    <w:rsid w:val="00EA44CE"/>
    <w:rsid w:val="00EA7B13"/>
    <w:rsid w:val="00EB0769"/>
    <w:rsid w:val="00EE070B"/>
    <w:rsid w:val="00EE3AE8"/>
    <w:rsid w:val="00EF3B4C"/>
    <w:rsid w:val="00EF55FF"/>
    <w:rsid w:val="00F21568"/>
    <w:rsid w:val="00F262F5"/>
    <w:rsid w:val="00F4108A"/>
    <w:rsid w:val="00F430BB"/>
    <w:rsid w:val="00F43EE2"/>
    <w:rsid w:val="00F45E2E"/>
    <w:rsid w:val="00F46AE6"/>
    <w:rsid w:val="00F613AB"/>
    <w:rsid w:val="00F86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914D"/>
  <w15:chartTrackingRefBased/>
  <w15:docId w15:val="{45E93436-5ADB-4CE5-91A3-FCF45EC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E9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E95B48"/>
    <w:pPr>
      <w:spacing w:after="0" w:line="240" w:lineRule="auto"/>
    </w:pPr>
    <w:rPr>
      <w:rFonts w:ascii="Calibri" w:eastAsia="Calibri" w:hAnsi="Calibri" w:cs="Times New Roman"/>
      <w:sz w:val="20"/>
      <w:szCs w:val="20"/>
      <w:lang w:val="ru-RU"/>
    </w:rPr>
  </w:style>
  <w:style w:type="character" w:customStyle="1" w:styleId="a5">
    <w:name w:val="Текст сноски Знак"/>
    <w:basedOn w:val="a0"/>
    <w:link w:val="a4"/>
    <w:uiPriority w:val="99"/>
    <w:semiHidden/>
    <w:rsid w:val="00E95B48"/>
    <w:rPr>
      <w:rFonts w:ascii="Calibri" w:eastAsia="Calibri" w:hAnsi="Calibri" w:cs="Times New Roman"/>
      <w:sz w:val="20"/>
      <w:szCs w:val="20"/>
      <w:lang w:val="ru-RU"/>
    </w:rPr>
  </w:style>
  <w:style w:type="character" w:styleId="a6">
    <w:name w:val="footnote reference"/>
    <w:basedOn w:val="a0"/>
    <w:uiPriority w:val="99"/>
    <w:unhideWhenUsed/>
    <w:rsid w:val="00E95B48"/>
    <w:rPr>
      <w:vertAlign w:val="superscript"/>
    </w:rPr>
  </w:style>
  <w:style w:type="character" w:styleId="a7">
    <w:name w:val="Hyperlink"/>
    <w:basedOn w:val="a0"/>
    <w:uiPriority w:val="99"/>
    <w:unhideWhenUsed/>
    <w:rsid w:val="00F45E2E"/>
    <w:rPr>
      <w:color w:val="0563C1" w:themeColor="hyperlink"/>
      <w:u w:val="single"/>
    </w:rPr>
  </w:style>
  <w:style w:type="paragraph" w:styleId="a8">
    <w:name w:val="List Paragraph"/>
    <w:basedOn w:val="a"/>
    <w:uiPriority w:val="34"/>
    <w:qFormat/>
    <w:rsid w:val="00007068"/>
    <w:pPr>
      <w:ind w:left="720"/>
      <w:contextualSpacing/>
    </w:pPr>
  </w:style>
  <w:style w:type="paragraph" w:styleId="a9">
    <w:name w:val="Balloon Text"/>
    <w:basedOn w:val="a"/>
    <w:link w:val="aa"/>
    <w:uiPriority w:val="99"/>
    <w:semiHidden/>
    <w:unhideWhenUsed/>
    <w:rsid w:val="002C12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122C"/>
    <w:rPr>
      <w:rFonts w:ascii="Segoe UI" w:hAnsi="Segoe UI" w:cs="Segoe UI"/>
      <w:sz w:val="18"/>
      <w:szCs w:val="18"/>
    </w:rPr>
  </w:style>
  <w:style w:type="character" w:styleId="ab">
    <w:name w:val="annotation reference"/>
    <w:basedOn w:val="a0"/>
    <w:uiPriority w:val="99"/>
    <w:semiHidden/>
    <w:unhideWhenUsed/>
    <w:rsid w:val="003729EB"/>
    <w:rPr>
      <w:sz w:val="16"/>
      <w:szCs w:val="16"/>
    </w:rPr>
  </w:style>
  <w:style w:type="paragraph" w:styleId="ac">
    <w:name w:val="annotation text"/>
    <w:basedOn w:val="a"/>
    <w:link w:val="ad"/>
    <w:uiPriority w:val="99"/>
    <w:semiHidden/>
    <w:unhideWhenUsed/>
    <w:rsid w:val="003729EB"/>
    <w:pPr>
      <w:spacing w:line="240" w:lineRule="auto"/>
    </w:pPr>
    <w:rPr>
      <w:sz w:val="20"/>
      <w:szCs w:val="20"/>
    </w:rPr>
  </w:style>
  <w:style w:type="character" w:customStyle="1" w:styleId="ad">
    <w:name w:val="Текст примечания Знак"/>
    <w:basedOn w:val="a0"/>
    <w:link w:val="ac"/>
    <w:uiPriority w:val="99"/>
    <w:semiHidden/>
    <w:rsid w:val="003729EB"/>
    <w:rPr>
      <w:sz w:val="20"/>
      <w:szCs w:val="20"/>
    </w:rPr>
  </w:style>
  <w:style w:type="paragraph" w:styleId="ae">
    <w:name w:val="annotation subject"/>
    <w:basedOn w:val="ac"/>
    <w:next w:val="ac"/>
    <w:link w:val="af"/>
    <w:uiPriority w:val="99"/>
    <w:semiHidden/>
    <w:unhideWhenUsed/>
    <w:rsid w:val="003729EB"/>
    <w:rPr>
      <w:b/>
      <w:bCs/>
    </w:rPr>
  </w:style>
  <w:style w:type="character" w:customStyle="1" w:styleId="af">
    <w:name w:val="Тема примечания Знак"/>
    <w:basedOn w:val="ad"/>
    <w:link w:val="ae"/>
    <w:uiPriority w:val="99"/>
    <w:semiHidden/>
    <w:rsid w:val="003729EB"/>
    <w:rPr>
      <w:b/>
      <w:bCs/>
      <w:sz w:val="20"/>
      <w:szCs w:val="20"/>
    </w:rPr>
  </w:style>
  <w:style w:type="character" w:customStyle="1" w:styleId="10">
    <w:name w:val="Незакрита згадка1"/>
    <w:basedOn w:val="a0"/>
    <w:uiPriority w:val="99"/>
    <w:semiHidden/>
    <w:unhideWhenUsed/>
    <w:rsid w:val="00DF0FE2"/>
    <w:rPr>
      <w:color w:val="605E5C"/>
      <w:shd w:val="clear" w:color="auto" w:fill="E1DFDD"/>
    </w:rPr>
  </w:style>
  <w:style w:type="table" w:customStyle="1" w:styleId="11">
    <w:name w:val="Сетка таблицы1"/>
    <w:basedOn w:val="a1"/>
    <w:next w:val="a3"/>
    <w:uiPriority w:val="39"/>
    <w:rsid w:val="00B8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 TargetMode="External"/><Relationship Id="rId13" Type="http://schemas.openxmlformats.org/officeDocument/2006/relationships/hyperlink" Target="https://nazk.gov.ua/uk/" TargetMode="External"/><Relationship Id="rId18" Type="http://schemas.openxmlformats.org/officeDocument/2006/relationships/hyperlink" Target="https://www.rada.gov.ua/" TargetMode="External"/><Relationship Id="rId26" Type="http://schemas.openxmlformats.org/officeDocument/2006/relationships/hyperlink" Target="https://nazk.gov.ua/uk/" TargetMode="External"/><Relationship Id="rId3" Type="http://schemas.openxmlformats.org/officeDocument/2006/relationships/webSettings" Target="webSettings.xml"/><Relationship Id="rId21" Type="http://schemas.openxmlformats.org/officeDocument/2006/relationships/hyperlink" Target="https://nazk.gov.ua/uk/" TargetMode="External"/><Relationship Id="rId7" Type="http://schemas.openxmlformats.org/officeDocument/2006/relationships/hyperlink" Target="https://nazk.gov.ua/uk/" TargetMode="External"/><Relationship Id="rId12" Type="http://schemas.openxmlformats.org/officeDocument/2006/relationships/hyperlink" Target="https://www.rada.gov.ua/" TargetMode="External"/><Relationship Id="rId17" Type="http://schemas.openxmlformats.org/officeDocument/2006/relationships/hyperlink" Target="https://nazk.gov.ua/uk/" TargetMode="External"/><Relationship Id="rId25" Type="http://schemas.openxmlformats.org/officeDocument/2006/relationships/hyperlink" Target="https://nazk.gov.ua/uk/" TargetMode="External"/><Relationship Id="rId2" Type="http://schemas.openxmlformats.org/officeDocument/2006/relationships/settings" Target="settings.xml"/><Relationship Id="rId16" Type="http://schemas.openxmlformats.org/officeDocument/2006/relationships/hyperlink" Target="https://nazk.gov.ua/uk/" TargetMode="External"/><Relationship Id="rId20" Type="http://schemas.openxmlformats.org/officeDocument/2006/relationships/hyperlink" Target="https://nazk.gov.ua/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zk.gov.ua/uk/" TargetMode="External"/><Relationship Id="rId11" Type="http://schemas.openxmlformats.org/officeDocument/2006/relationships/hyperlink" Target="https://nazk.gov.ua/uk/" TargetMode="External"/><Relationship Id="rId24" Type="http://schemas.openxmlformats.org/officeDocument/2006/relationships/hyperlink" Target="https://nazk.gov.ua/uk/" TargetMode="External"/><Relationship Id="rId5" Type="http://schemas.openxmlformats.org/officeDocument/2006/relationships/endnotes" Target="endnotes.xml"/><Relationship Id="rId15" Type="http://schemas.openxmlformats.org/officeDocument/2006/relationships/hyperlink" Target="https://www.rada.gov.ua/" TargetMode="External"/><Relationship Id="rId23" Type="http://schemas.openxmlformats.org/officeDocument/2006/relationships/hyperlink" Target="https://nazk.gov.ua/uk/" TargetMode="External"/><Relationship Id="rId28" Type="http://schemas.openxmlformats.org/officeDocument/2006/relationships/hyperlink" Target="https://nazk.gov.ua/uk/" TargetMode="External"/><Relationship Id="rId10" Type="http://schemas.openxmlformats.org/officeDocument/2006/relationships/hyperlink" Target="https://nazk.gov.ua/uk/" TargetMode="External"/><Relationship Id="rId19" Type="http://schemas.openxmlformats.org/officeDocument/2006/relationships/hyperlink" Target="https://www.rada.gov.ua/" TargetMode="External"/><Relationship Id="rId4" Type="http://schemas.openxmlformats.org/officeDocument/2006/relationships/footnotes" Target="footnotes.xml"/><Relationship Id="rId9" Type="http://schemas.openxmlformats.org/officeDocument/2006/relationships/hyperlink" Target="https://nazk.gov.ua/uk/" TargetMode="External"/><Relationship Id="rId14" Type="http://schemas.openxmlformats.org/officeDocument/2006/relationships/hyperlink" Target="https://nazk.gov.ua/uk/" TargetMode="External"/><Relationship Id="rId22" Type="http://schemas.openxmlformats.org/officeDocument/2006/relationships/hyperlink" Target="https://nazk.gov.ua/uk/" TargetMode="External"/><Relationship Id="rId27" Type="http://schemas.openxmlformats.org/officeDocument/2006/relationships/hyperlink" Target="https://nazk.gov.ua/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utt.ly/3VvsF76" TargetMode="External"/><Relationship Id="rId1" Type="http://schemas.openxmlformats.org/officeDocument/2006/relationships/hyperlink" Target="https://cutt.ly/cVvzD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29</Pages>
  <Words>11744</Words>
  <Characters>66945</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Anticorruption Policy Department</cp:lastModifiedBy>
  <cp:revision>5</cp:revision>
  <cp:lastPrinted>2022-09-15T06:30:00Z</cp:lastPrinted>
  <dcterms:created xsi:type="dcterms:W3CDTF">2022-10-03T16:30:00Z</dcterms:created>
  <dcterms:modified xsi:type="dcterms:W3CDTF">2022-10-04T08:21:00Z</dcterms:modified>
</cp:coreProperties>
</file>