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A7" w:rsidRPr="006F18E0" w:rsidRDefault="007D5C55" w:rsidP="007D5C55">
      <w:pPr>
        <w:spacing w:after="0" w:line="240" w:lineRule="auto"/>
        <w:jc w:val="right"/>
        <w:rPr>
          <w:rFonts w:ascii="Times New Roman" w:eastAsiaTheme="minorHAnsi" w:hAnsi="Times New Roman"/>
          <w:b/>
          <w:sz w:val="28"/>
          <w:szCs w:val="28"/>
          <w:lang w:eastAsia="en-US"/>
        </w:rPr>
      </w:pPr>
      <w:r w:rsidRPr="006F18E0">
        <w:rPr>
          <w:rFonts w:ascii="Times New Roman" w:eastAsiaTheme="minorHAnsi" w:hAnsi="Times New Roman"/>
          <w:b/>
          <w:sz w:val="28"/>
          <w:szCs w:val="28"/>
          <w:lang w:eastAsia="en-US"/>
        </w:rPr>
        <w:t>Додаток 1</w:t>
      </w:r>
    </w:p>
    <w:p w:rsidR="007D5C55" w:rsidRPr="006F18E0" w:rsidRDefault="007D5C55" w:rsidP="007D5C55">
      <w:pPr>
        <w:spacing w:after="0" w:line="240" w:lineRule="auto"/>
        <w:jc w:val="right"/>
        <w:rPr>
          <w:rFonts w:ascii="Times New Roman" w:eastAsiaTheme="minorHAnsi" w:hAnsi="Times New Roman"/>
          <w:b/>
          <w:sz w:val="28"/>
          <w:szCs w:val="28"/>
          <w:lang w:eastAsia="en-US"/>
        </w:rPr>
      </w:pPr>
      <w:bookmarkStart w:id="0" w:name="_GoBack"/>
      <w:bookmarkEnd w:id="0"/>
    </w:p>
    <w:p w:rsidR="00425FA1" w:rsidRPr="00E237A8" w:rsidRDefault="006F18E0" w:rsidP="00425FA1">
      <w:pPr>
        <w:spacing w:after="0" w:line="240" w:lineRule="auto"/>
        <w:jc w:val="center"/>
        <w:rPr>
          <w:rFonts w:ascii="Times New Roman" w:eastAsiaTheme="minorHAnsi" w:hAnsi="Times New Roman"/>
          <w:b/>
          <w:sz w:val="32"/>
          <w:szCs w:val="32"/>
          <w:lang w:eastAsia="en-US"/>
        </w:rPr>
      </w:pPr>
      <w:r>
        <w:rPr>
          <w:rFonts w:ascii="Times New Roman" w:eastAsiaTheme="minorHAnsi" w:hAnsi="Times New Roman"/>
          <w:b/>
          <w:sz w:val="32"/>
          <w:szCs w:val="32"/>
          <w:lang w:eastAsia="en-US"/>
        </w:rPr>
        <w:t xml:space="preserve">Пропозиції до </w:t>
      </w:r>
      <w:r w:rsidR="00425FA1" w:rsidRPr="00E237A8">
        <w:rPr>
          <w:rFonts w:ascii="Times New Roman" w:eastAsiaTheme="minorHAnsi" w:hAnsi="Times New Roman"/>
          <w:b/>
          <w:sz w:val="32"/>
          <w:szCs w:val="32"/>
          <w:lang w:eastAsia="en-US"/>
        </w:rPr>
        <w:t>ОЧІКУВАН</w:t>
      </w:r>
      <w:r>
        <w:rPr>
          <w:rFonts w:ascii="Times New Roman" w:eastAsiaTheme="minorHAnsi" w:hAnsi="Times New Roman"/>
          <w:b/>
          <w:sz w:val="32"/>
          <w:szCs w:val="32"/>
          <w:lang w:eastAsia="en-US"/>
        </w:rPr>
        <w:t>ИХ</w:t>
      </w:r>
      <w:r w:rsidR="00425FA1" w:rsidRPr="00E237A8">
        <w:rPr>
          <w:rFonts w:ascii="Times New Roman" w:eastAsiaTheme="minorHAnsi" w:hAnsi="Times New Roman"/>
          <w:b/>
          <w:sz w:val="32"/>
          <w:szCs w:val="32"/>
          <w:lang w:eastAsia="en-US"/>
        </w:rPr>
        <w:t xml:space="preserve"> СТРАТЕГІЧН</w:t>
      </w:r>
      <w:r>
        <w:rPr>
          <w:rFonts w:ascii="Times New Roman" w:eastAsiaTheme="minorHAnsi" w:hAnsi="Times New Roman"/>
          <w:b/>
          <w:sz w:val="32"/>
          <w:szCs w:val="32"/>
          <w:lang w:eastAsia="en-US"/>
        </w:rPr>
        <w:t>ИХ</w:t>
      </w:r>
      <w:r w:rsidR="00425FA1" w:rsidRPr="00E237A8">
        <w:rPr>
          <w:rFonts w:ascii="Times New Roman" w:eastAsiaTheme="minorHAnsi" w:hAnsi="Times New Roman"/>
          <w:b/>
          <w:sz w:val="32"/>
          <w:szCs w:val="32"/>
          <w:lang w:eastAsia="en-US"/>
        </w:rPr>
        <w:t xml:space="preserve"> РЕЗУЛЬТАТ</w:t>
      </w:r>
      <w:r>
        <w:rPr>
          <w:rFonts w:ascii="Times New Roman" w:eastAsiaTheme="minorHAnsi" w:hAnsi="Times New Roman"/>
          <w:b/>
          <w:sz w:val="32"/>
          <w:szCs w:val="32"/>
          <w:lang w:eastAsia="en-US"/>
        </w:rPr>
        <w:t>ІВ</w:t>
      </w:r>
    </w:p>
    <w:p w:rsidR="00425FA1" w:rsidRDefault="00425FA1" w:rsidP="00425FA1">
      <w:pPr>
        <w:spacing w:after="0" w:line="240" w:lineRule="auto"/>
        <w:jc w:val="center"/>
        <w:rPr>
          <w:rFonts w:ascii="Times New Roman" w:eastAsiaTheme="minorHAnsi" w:hAnsi="Times New Roman"/>
          <w:b/>
          <w:sz w:val="32"/>
          <w:szCs w:val="32"/>
          <w:lang w:eastAsia="en-US"/>
        </w:rPr>
      </w:pPr>
      <w:r w:rsidRPr="00E237A8">
        <w:rPr>
          <w:rFonts w:ascii="Times New Roman" w:eastAsiaTheme="minorHAnsi" w:hAnsi="Times New Roman"/>
          <w:b/>
          <w:sz w:val="32"/>
          <w:szCs w:val="32"/>
          <w:lang w:eastAsia="en-US"/>
        </w:rPr>
        <w:t>з виконання Державної антикорупційної програми на 2023–2025 роки</w:t>
      </w:r>
    </w:p>
    <w:p w:rsidR="006F18E0" w:rsidRDefault="006F18E0" w:rsidP="006F18E0">
      <w:pPr>
        <w:spacing w:after="0" w:line="240" w:lineRule="auto"/>
        <w:jc w:val="center"/>
        <w:rPr>
          <w:rFonts w:ascii="Times New Roman" w:hAnsi="Times New Roman"/>
          <w:b/>
          <w:sz w:val="32"/>
          <w:szCs w:val="32"/>
        </w:rPr>
      </w:pPr>
      <w:r>
        <w:rPr>
          <w:rFonts w:ascii="Times New Roman" w:hAnsi="Times New Roman"/>
          <w:b/>
          <w:sz w:val="32"/>
          <w:szCs w:val="32"/>
        </w:rPr>
        <w:t>(</w:t>
      </w:r>
      <w:r w:rsidRPr="007F391F">
        <w:rPr>
          <w:rFonts w:ascii="Times New Roman" w:hAnsi="Times New Roman"/>
          <w:b/>
          <w:sz w:val="32"/>
          <w:szCs w:val="32"/>
        </w:rPr>
        <w:t xml:space="preserve">Очікуваного стратегічного результату 2.4.3.1. Проблеми 2.4.3. </w:t>
      </w:r>
    </w:p>
    <w:p w:rsidR="006F18E0" w:rsidRDefault="006F18E0" w:rsidP="006F18E0">
      <w:pPr>
        <w:spacing w:after="0" w:line="240" w:lineRule="auto"/>
        <w:jc w:val="center"/>
        <w:rPr>
          <w:rFonts w:ascii="Times New Roman" w:hAnsi="Times New Roman"/>
          <w:b/>
          <w:sz w:val="32"/>
          <w:szCs w:val="32"/>
        </w:rPr>
      </w:pPr>
      <w:r w:rsidRPr="007F391F">
        <w:rPr>
          <w:rFonts w:ascii="Times New Roman" w:hAnsi="Times New Roman"/>
          <w:b/>
          <w:sz w:val="32"/>
          <w:szCs w:val="32"/>
        </w:rPr>
        <w:t xml:space="preserve">пункту 2.4. Державний та приватний сектори економіки </w:t>
      </w:r>
    </w:p>
    <w:p w:rsidR="006F18E0" w:rsidRPr="00944B48" w:rsidRDefault="006F18E0" w:rsidP="006F18E0">
      <w:pPr>
        <w:spacing w:after="0" w:line="240" w:lineRule="auto"/>
        <w:jc w:val="center"/>
        <w:rPr>
          <w:rFonts w:ascii="Times New Roman" w:hAnsi="Times New Roman"/>
          <w:b/>
          <w:sz w:val="32"/>
          <w:szCs w:val="32"/>
        </w:rPr>
      </w:pPr>
      <w:r w:rsidRPr="007F391F">
        <w:rPr>
          <w:rFonts w:ascii="Times New Roman" w:hAnsi="Times New Roman"/>
          <w:b/>
          <w:sz w:val="32"/>
          <w:szCs w:val="32"/>
        </w:rPr>
        <w:t>розділу ІІ. Запобігання корупції у пріоритетних сферах)</w:t>
      </w:r>
      <w:r>
        <w:rPr>
          <w:rFonts w:ascii="Times New Roman" w:hAnsi="Times New Roman"/>
          <w:b/>
          <w:sz w:val="32"/>
          <w:szCs w:val="32"/>
        </w:rPr>
        <w:t xml:space="preserve"> </w:t>
      </w:r>
    </w:p>
    <w:p w:rsidR="006F18E0" w:rsidRPr="00E237A8" w:rsidRDefault="006F18E0" w:rsidP="00425FA1">
      <w:pPr>
        <w:spacing w:after="0" w:line="240" w:lineRule="auto"/>
        <w:jc w:val="center"/>
        <w:rPr>
          <w:rFonts w:ascii="Times New Roman" w:eastAsiaTheme="minorHAnsi" w:hAnsi="Times New Roman"/>
          <w:b/>
          <w:sz w:val="32"/>
          <w:szCs w:val="32"/>
          <w:lang w:eastAsia="en-US"/>
        </w:rPr>
      </w:pPr>
    </w:p>
    <w:p w:rsidR="00425FA1" w:rsidRPr="00E237A8" w:rsidRDefault="00425FA1" w:rsidP="00425FA1">
      <w:pPr>
        <w:spacing w:after="0" w:line="240" w:lineRule="auto"/>
        <w:jc w:val="center"/>
        <w:rPr>
          <w:rStyle w:val="rvts23"/>
          <w:rFonts w:ascii="Times New Roman" w:hAnsi="Times New Roman"/>
          <w:sz w:val="28"/>
          <w:szCs w:val="28"/>
        </w:rPr>
      </w:pPr>
    </w:p>
    <w:tbl>
      <w:tblPr>
        <w:tblStyle w:val="a3"/>
        <w:tblpPr w:leftFromText="180" w:rightFromText="180" w:vertAnchor="text" w:tblpY="1"/>
        <w:tblOverlap w:val="never"/>
        <w:tblW w:w="5001" w:type="pct"/>
        <w:tblLook w:val="04A0" w:firstRow="1" w:lastRow="0" w:firstColumn="1" w:lastColumn="0" w:noHBand="0" w:noVBand="1"/>
      </w:tblPr>
      <w:tblGrid>
        <w:gridCol w:w="2916"/>
        <w:gridCol w:w="102"/>
        <w:gridCol w:w="5199"/>
        <w:gridCol w:w="90"/>
        <w:gridCol w:w="769"/>
        <w:gridCol w:w="233"/>
        <w:gridCol w:w="2895"/>
        <w:gridCol w:w="35"/>
        <w:gridCol w:w="2324"/>
      </w:tblGrid>
      <w:tr w:rsidR="00425FA1" w:rsidRPr="00E237A8" w:rsidTr="006F18E0">
        <w:trPr>
          <w:trHeight w:val="527"/>
          <w:tblHeader/>
        </w:trPr>
        <w:tc>
          <w:tcPr>
            <w:tcW w:w="1036" w:type="pct"/>
            <w:gridSpan w:val="2"/>
            <w:vAlign w:val="center"/>
          </w:tcPr>
          <w:p w:rsidR="00425FA1" w:rsidRPr="00E237A8" w:rsidRDefault="00425FA1" w:rsidP="00E237A8">
            <w:pPr>
              <w:spacing w:after="0" w:line="240" w:lineRule="auto"/>
              <w:jc w:val="center"/>
              <w:rPr>
                <w:rStyle w:val="rvts23"/>
                <w:rFonts w:ascii="Times New Roman" w:hAnsi="Times New Roman"/>
                <w:sz w:val="24"/>
                <w:szCs w:val="24"/>
              </w:rPr>
            </w:pPr>
            <w:r w:rsidRPr="00E237A8">
              <w:rPr>
                <w:rFonts w:ascii="Times New Roman" w:hAnsi="Times New Roman"/>
                <w:b/>
                <w:sz w:val="24"/>
                <w:szCs w:val="24"/>
                <w:lang w:bidi="uk-UA"/>
              </w:rPr>
              <w:t>Очікуваний стратегічний результат</w:t>
            </w:r>
          </w:p>
        </w:tc>
        <w:tc>
          <w:tcPr>
            <w:tcW w:w="1816" w:type="pct"/>
            <w:gridSpan w:val="2"/>
            <w:vAlign w:val="center"/>
          </w:tcPr>
          <w:p w:rsidR="00425FA1" w:rsidRPr="00E237A8" w:rsidRDefault="00425FA1" w:rsidP="00E237A8">
            <w:pPr>
              <w:spacing w:after="0" w:line="240" w:lineRule="auto"/>
              <w:jc w:val="center"/>
              <w:rPr>
                <w:rStyle w:val="rvts23"/>
                <w:rFonts w:ascii="Times New Roman" w:hAnsi="Times New Roman"/>
                <w:sz w:val="24"/>
                <w:szCs w:val="24"/>
              </w:rPr>
            </w:pPr>
            <w:r w:rsidRPr="00E237A8">
              <w:rPr>
                <w:rFonts w:ascii="Times New Roman" w:hAnsi="Times New Roman"/>
                <w:b/>
                <w:sz w:val="24"/>
                <w:szCs w:val="24"/>
              </w:rPr>
              <w:t>Показник (індикатор) досягнення</w:t>
            </w:r>
          </w:p>
        </w:tc>
        <w:tc>
          <w:tcPr>
            <w:tcW w:w="344" w:type="pct"/>
            <w:gridSpan w:val="2"/>
            <w:vAlign w:val="center"/>
          </w:tcPr>
          <w:p w:rsidR="00425FA1" w:rsidRPr="00E237A8" w:rsidRDefault="00425FA1" w:rsidP="00E237A8">
            <w:pPr>
              <w:spacing w:after="0" w:line="240" w:lineRule="auto"/>
              <w:jc w:val="center"/>
              <w:rPr>
                <w:rFonts w:ascii="Times New Roman" w:hAnsi="Times New Roman"/>
                <w:b/>
                <w:sz w:val="24"/>
                <w:szCs w:val="24"/>
              </w:rPr>
            </w:pPr>
            <w:r w:rsidRPr="00E237A8">
              <w:rPr>
                <w:rFonts w:ascii="Times New Roman" w:hAnsi="Times New Roman"/>
                <w:b/>
                <w:sz w:val="24"/>
                <w:szCs w:val="24"/>
              </w:rPr>
              <w:t>Частка</w:t>
            </w:r>
            <w:r w:rsidRPr="00E237A8">
              <w:rPr>
                <w:rFonts w:ascii="Times New Roman" w:hAnsi="Times New Roman"/>
                <w:b/>
                <w:sz w:val="24"/>
                <w:szCs w:val="24"/>
              </w:rPr>
              <w:br/>
              <w:t>(у%)</w:t>
            </w:r>
          </w:p>
        </w:tc>
        <w:tc>
          <w:tcPr>
            <w:tcW w:w="994" w:type="pct"/>
            <w:vAlign w:val="center"/>
          </w:tcPr>
          <w:p w:rsidR="00425FA1" w:rsidRPr="00E237A8" w:rsidRDefault="00425FA1" w:rsidP="00E237A8">
            <w:pPr>
              <w:spacing w:after="0" w:line="240" w:lineRule="auto"/>
              <w:jc w:val="center"/>
              <w:rPr>
                <w:rFonts w:ascii="Times New Roman" w:hAnsi="Times New Roman"/>
                <w:b/>
                <w:sz w:val="24"/>
                <w:szCs w:val="24"/>
              </w:rPr>
            </w:pPr>
            <w:r w:rsidRPr="00E237A8">
              <w:rPr>
                <w:rFonts w:ascii="Times New Roman" w:hAnsi="Times New Roman"/>
                <w:b/>
                <w:sz w:val="24"/>
                <w:szCs w:val="24"/>
              </w:rPr>
              <w:t>Джерело даних</w:t>
            </w:r>
          </w:p>
        </w:tc>
        <w:tc>
          <w:tcPr>
            <w:tcW w:w="810" w:type="pct"/>
            <w:gridSpan w:val="2"/>
            <w:vAlign w:val="center"/>
          </w:tcPr>
          <w:p w:rsidR="00425FA1" w:rsidRPr="00E237A8" w:rsidRDefault="00425FA1" w:rsidP="00E237A8">
            <w:pPr>
              <w:spacing w:after="0" w:line="240" w:lineRule="auto"/>
              <w:jc w:val="center"/>
              <w:rPr>
                <w:rFonts w:ascii="Times New Roman" w:hAnsi="Times New Roman"/>
                <w:b/>
                <w:sz w:val="24"/>
                <w:szCs w:val="24"/>
              </w:rPr>
            </w:pPr>
            <w:r w:rsidRPr="00E237A8">
              <w:rPr>
                <w:rFonts w:ascii="Times New Roman" w:hAnsi="Times New Roman"/>
                <w:b/>
                <w:sz w:val="24"/>
                <w:szCs w:val="24"/>
              </w:rPr>
              <w:t>Базовий показник</w:t>
            </w:r>
          </w:p>
        </w:tc>
      </w:tr>
      <w:tr w:rsidR="00E237A8" w:rsidRPr="00E237A8" w:rsidTr="00E237A8">
        <w:tc>
          <w:tcPr>
            <w:tcW w:w="5000" w:type="pct"/>
            <w:gridSpan w:val="9"/>
          </w:tcPr>
          <w:p w:rsidR="00E237A8" w:rsidRPr="00E237A8" w:rsidRDefault="00E237A8" w:rsidP="00E237A8">
            <w:pPr>
              <w:spacing w:after="0" w:line="240" w:lineRule="auto"/>
              <w:jc w:val="center"/>
              <w:rPr>
                <w:rFonts w:ascii="Times New Roman" w:hAnsi="Times New Roman"/>
                <w:b/>
                <w:sz w:val="24"/>
                <w:szCs w:val="24"/>
                <w:lang w:bidi="uk-UA"/>
              </w:rPr>
            </w:pPr>
          </w:p>
          <w:p w:rsidR="00E237A8" w:rsidRPr="00E237A8" w:rsidRDefault="00E237A8" w:rsidP="00E237A8">
            <w:pPr>
              <w:spacing w:after="0" w:line="240" w:lineRule="auto"/>
              <w:jc w:val="center"/>
              <w:rPr>
                <w:rFonts w:ascii="Times New Roman" w:hAnsi="Times New Roman"/>
                <w:b/>
                <w:sz w:val="24"/>
                <w:szCs w:val="24"/>
                <w:lang w:bidi="uk-UA"/>
              </w:rPr>
            </w:pPr>
            <w:r w:rsidRPr="00E237A8">
              <w:rPr>
                <w:rFonts w:ascii="Times New Roman" w:hAnsi="Times New Roman"/>
                <w:b/>
                <w:sz w:val="24"/>
                <w:szCs w:val="24"/>
                <w:lang w:bidi="uk-UA"/>
              </w:rPr>
              <w:t>ІІ. ЗАПОБІГАННЯ КОРУПЦІЇ У ПРІОРИТЕТНИХ СФЕРАХ</w:t>
            </w:r>
          </w:p>
          <w:p w:rsidR="00E237A8" w:rsidRPr="00E237A8" w:rsidRDefault="00E237A8" w:rsidP="00E237A8">
            <w:pPr>
              <w:spacing w:after="0" w:line="240" w:lineRule="auto"/>
              <w:rPr>
                <w:rFonts w:ascii="Times New Roman" w:hAnsi="Times New Roman"/>
                <w:sz w:val="24"/>
                <w:szCs w:val="24"/>
                <w:lang w:bidi="uk-UA"/>
              </w:rPr>
            </w:pPr>
          </w:p>
        </w:tc>
      </w:tr>
      <w:tr w:rsidR="00E237A8" w:rsidRPr="00E237A8" w:rsidTr="00E237A8">
        <w:tc>
          <w:tcPr>
            <w:tcW w:w="5000" w:type="pct"/>
            <w:gridSpan w:val="9"/>
          </w:tcPr>
          <w:p w:rsidR="00E237A8" w:rsidRPr="00E237A8" w:rsidRDefault="00E237A8" w:rsidP="00E237A8">
            <w:pPr>
              <w:spacing w:after="0" w:line="240" w:lineRule="auto"/>
              <w:rPr>
                <w:rFonts w:ascii="Times New Roman" w:hAnsi="Times New Roman"/>
                <w:sz w:val="24"/>
                <w:szCs w:val="24"/>
                <w:lang w:bidi="uk-UA"/>
              </w:rPr>
            </w:pPr>
            <w:r w:rsidRPr="00E237A8">
              <w:rPr>
                <w:rFonts w:ascii="Times New Roman" w:hAnsi="Times New Roman"/>
                <w:b/>
                <w:sz w:val="24"/>
                <w:szCs w:val="24"/>
                <w:lang w:bidi="uk-UA"/>
              </w:rPr>
              <w:t>2.4. Державний та приватний сектори економіки</w:t>
            </w:r>
          </w:p>
        </w:tc>
      </w:tr>
      <w:tr w:rsidR="00425FA1" w:rsidRPr="00E237A8" w:rsidTr="00E237A8">
        <w:tc>
          <w:tcPr>
            <w:tcW w:w="5000" w:type="pct"/>
            <w:gridSpan w:val="9"/>
          </w:tcPr>
          <w:p w:rsidR="00425FA1" w:rsidRPr="00E237A8" w:rsidRDefault="00425FA1" w:rsidP="00E237A8">
            <w:pPr>
              <w:spacing w:after="0" w:line="240" w:lineRule="auto"/>
              <w:jc w:val="both"/>
              <w:rPr>
                <w:rFonts w:ascii="Times New Roman" w:hAnsi="Times New Roman"/>
                <w:b/>
                <w:sz w:val="24"/>
                <w:szCs w:val="24"/>
                <w:lang w:bidi="uk-UA"/>
              </w:rPr>
            </w:pPr>
            <w:r w:rsidRPr="00E237A8">
              <w:rPr>
                <w:rFonts w:ascii="Times New Roman" w:hAnsi="Times New Roman"/>
                <w:b/>
                <w:sz w:val="24"/>
                <w:szCs w:val="24"/>
                <w:lang w:bidi="uk-UA"/>
              </w:rPr>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lang w:bidi="uk-UA"/>
              </w:rPr>
              <w:t>Попри запровадження вимог щодо розкриття фінансової та нефінансової інформації про діяльність підприємств державної та комунальної форми власності, на практиці дотримання цих вимог залишається проблематичним. Відсутні дієві, пропорційні та стримуючі санкції за недотримання встановлених вимог. Інформація часто оприлюднюється у різному обсязі, у різних форматах та на різних платформах, що ускладнює її аналіз (зокрема, з використанням сучасних технологій). Існуючі реєстри та бази даних залишаються неповними, обсяг надання інформації є обмеженим й способи забезпечення такого доступу не відповідають сучасним реаліям. Наявність різних інформаційних платформ призводить до дублювання даних, їхньої фрагментації чи навіть розбіжних даних у різних джерелах</w:t>
            </w:r>
          </w:p>
        </w:tc>
      </w:tr>
      <w:tr w:rsidR="00425FA1" w:rsidRPr="00E237A8" w:rsidTr="006F18E0">
        <w:tc>
          <w:tcPr>
            <w:tcW w:w="1001" w:type="pct"/>
            <w:vMerge w:val="restart"/>
          </w:tcPr>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 xml:space="preserve">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w:t>
            </w:r>
            <w:r w:rsidRPr="00E237A8">
              <w:rPr>
                <w:rFonts w:ascii="Times New Roman" w:hAnsi="Times New Roman"/>
                <w:sz w:val="24"/>
                <w:szCs w:val="24"/>
              </w:rPr>
              <w:lastRenderedPageBreak/>
              <w:t>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c>
          <w:tcPr>
            <w:tcW w:w="1820" w:type="pct"/>
            <w:gridSpan w:val="2"/>
          </w:tcPr>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lastRenderedPageBreak/>
              <w:t>1) набрав чинності закон, яким удосконалено функціонування Єдиного реєстру об’єктів державної власності</w:t>
            </w:r>
            <w:r w:rsidR="00CB54EE">
              <w:rPr>
                <w:rFonts w:ascii="Times New Roman" w:hAnsi="Times New Roman"/>
                <w:sz w:val="24"/>
                <w:szCs w:val="24"/>
              </w:rPr>
              <w:t xml:space="preserve"> та </w:t>
            </w:r>
            <w:r w:rsidR="00CB54EE">
              <w:rPr>
                <w:rFonts w:ascii="Times New Roman" w:hAnsi="Times New Roman"/>
                <w:b/>
                <w:sz w:val="24"/>
                <w:szCs w:val="24"/>
              </w:rPr>
              <w:t xml:space="preserve">створено </w:t>
            </w:r>
            <w:r w:rsidR="00E620B9" w:rsidRPr="00177C9D">
              <w:rPr>
                <w:rFonts w:ascii="Times New Roman" w:hAnsi="Times New Roman"/>
                <w:b/>
                <w:sz w:val="24"/>
                <w:szCs w:val="24"/>
              </w:rPr>
              <w:t>інформаційн</w:t>
            </w:r>
            <w:r w:rsidR="00CB54EE">
              <w:rPr>
                <w:rFonts w:ascii="Times New Roman" w:hAnsi="Times New Roman"/>
                <w:b/>
                <w:sz w:val="24"/>
                <w:szCs w:val="24"/>
              </w:rPr>
              <w:t>ий</w:t>
            </w:r>
            <w:r w:rsidR="00E620B9" w:rsidRPr="00177C9D">
              <w:rPr>
                <w:rFonts w:ascii="Times New Roman" w:hAnsi="Times New Roman"/>
                <w:b/>
                <w:sz w:val="24"/>
                <w:szCs w:val="24"/>
              </w:rPr>
              <w:t xml:space="preserve"> ресурс для</w:t>
            </w:r>
            <w:r w:rsidR="00E620B9" w:rsidRPr="00944B48">
              <w:rPr>
                <w:rFonts w:ascii="Times New Roman" w:hAnsi="Times New Roman"/>
                <w:sz w:val="24"/>
                <w:szCs w:val="24"/>
                <w:lang w:bidi="uk-UA"/>
              </w:rPr>
              <w:t xml:space="preserve"> оприлюднення інформації щодо підприємств державної та комунальної форми власності</w:t>
            </w:r>
            <w:r w:rsidRPr="00E237A8">
              <w:rPr>
                <w:rFonts w:ascii="Times New Roman" w:hAnsi="Times New Roman"/>
                <w:sz w:val="24"/>
                <w:szCs w:val="24"/>
              </w:rPr>
              <w:t>, зокрема:</w:t>
            </w:r>
          </w:p>
          <w:p w:rsidR="00425FA1" w:rsidRDefault="00425FA1" w:rsidP="00E237A8">
            <w:pPr>
              <w:spacing w:after="0" w:line="240" w:lineRule="auto"/>
              <w:rPr>
                <w:rFonts w:ascii="Times New Roman" w:hAnsi="Times New Roman"/>
                <w:sz w:val="24"/>
                <w:szCs w:val="24"/>
              </w:rPr>
            </w:pPr>
            <w:r w:rsidRPr="00FC01FF">
              <w:rPr>
                <w:rFonts w:ascii="Times New Roman" w:hAnsi="Times New Roman"/>
                <w:b/>
                <w:sz w:val="24"/>
                <w:szCs w:val="24"/>
              </w:rPr>
              <w:t>а)</w:t>
            </w:r>
            <w:r w:rsidRPr="00E237A8">
              <w:rPr>
                <w:rFonts w:ascii="Times New Roman" w:hAnsi="Times New Roman"/>
                <w:sz w:val="24"/>
                <w:szCs w:val="24"/>
              </w:rPr>
              <w:t> </w:t>
            </w:r>
            <w:r w:rsidR="00EF2757" w:rsidRPr="00EF2757">
              <w:rPr>
                <w:rFonts w:ascii="Times New Roman" w:hAnsi="Times New Roman"/>
                <w:b/>
                <w:sz w:val="24"/>
                <w:szCs w:val="24"/>
              </w:rPr>
              <w:t xml:space="preserve">визначено </w:t>
            </w:r>
            <w:r w:rsidR="002709AC" w:rsidRPr="00EF2757">
              <w:rPr>
                <w:rFonts w:ascii="Times New Roman" w:hAnsi="Times New Roman"/>
                <w:b/>
                <w:sz w:val="24"/>
                <w:szCs w:val="24"/>
                <w:lang w:bidi="uk-UA"/>
              </w:rPr>
              <w:t>механізм</w:t>
            </w:r>
            <w:r w:rsidR="002709AC" w:rsidRPr="00DF669F">
              <w:rPr>
                <w:rFonts w:ascii="Times New Roman" w:hAnsi="Times New Roman"/>
                <w:b/>
                <w:sz w:val="24"/>
                <w:szCs w:val="24"/>
                <w:lang w:bidi="uk-UA"/>
              </w:rPr>
              <w:t xml:space="preserve"> взаємодії з </w:t>
            </w:r>
            <w:r w:rsidR="002D73ED">
              <w:rPr>
                <w:rFonts w:ascii="Times New Roman" w:hAnsi="Times New Roman"/>
                <w:b/>
                <w:sz w:val="24"/>
                <w:szCs w:val="24"/>
                <w:lang w:bidi="uk-UA"/>
              </w:rPr>
              <w:t>учасниками</w:t>
            </w:r>
            <w:r w:rsidR="002709AC" w:rsidRPr="00DF669F">
              <w:rPr>
                <w:rFonts w:ascii="Times New Roman" w:hAnsi="Times New Roman"/>
                <w:b/>
                <w:sz w:val="24"/>
                <w:szCs w:val="24"/>
                <w:lang w:bidi="uk-UA"/>
              </w:rPr>
              <w:t xml:space="preserve"> формування Єдиного реєстру об’єктів державної власності</w:t>
            </w:r>
            <w:r w:rsidR="002709AC" w:rsidRPr="00E237A8">
              <w:rPr>
                <w:rFonts w:ascii="Times New Roman" w:hAnsi="Times New Roman"/>
                <w:sz w:val="24"/>
                <w:szCs w:val="24"/>
              </w:rPr>
              <w:t xml:space="preserve"> </w:t>
            </w:r>
            <w:r w:rsidRPr="00E237A8">
              <w:rPr>
                <w:rFonts w:ascii="Times New Roman" w:hAnsi="Times New Roman"/>
                <w:sz w:val="24"/>
                <w:szCs w:val="24"/>
              </w:rPr>
              <w:t>(7%);</w:t>
            </w:r>
          </w:p>
          <w:p w:rsidR="002D73ED" w:rsidRPr="00197EA3" w:rsidRDefault="002D73ED" w:rsidP="002D73ED">
            <w:pPr>
              <w:spacing w:after="0" w:line="240" w:lineRule="auto"/>
              <w:rPr>
                <w:rFonts w:ascii="Times New Roman" w:hAnsi="Times New Roman"/>
                <w:sz w:val="24"/>
                <w:szCs w:val="24"/>
              </w:rPr>
            </w:pPr>
            <w:r w:rsidRPr="002D73ED">
              <w:rPr>
                <w:rFonts w:ascii="Times New Roman" w:hAnsi="Times New Roman"/>
                <w:b/>
                <w:sz w:val="24"/>
                <w:szCs w:val="24"/>
              </w:rPr>
              <w:t>б)</w:t>
            </w:r>
            <w:r>
              <w:rPr>
                <w:rFonts w:ascii="Times New Roman" w:hAnsi="Times New Roman"/>
                <w:sz w:val="24"/>
                <w:szCs w:val="24"/>
              </w:rPr>
              <w:t xml:space="preserve"> </w:t>
            </w:r>
            <w:r w:rsidRPr="00197EA3">
              <w:rPr>
                <w:rFonts w:ascii="Times New Roman" w:hAnsi="Times New Roman"/>
                <w:sz w:val="24"/>
                <w:szCs w:val="24"/>
              </w:rPr>
              <w:t xml:space="preserve"> визначено чіткий порядок періодичного подання інформації суб’єктами управління до </w:t>
            </w:r>
            <w:r w:rsidRPr="00197EA3">
              <w:rPr>
                <w:rFonts w:ascii="Times New Roman" w:hAnsi="Times New Roman"/>
                <w:sz w:val="24"/>
                <w:szCs w:val="24"/>
              </w:rPr>
              <w:lastRenderedPageBreak/>
              <w:t>Єдиного реєстру об’єктів державної власності, а також порядок подання ними інформації у разі змін щодо об’єктів державної власності (7%);</w:t>
            </w:r>
          </w:p>
          <w:p w:rsidR="00425FA1" w:rsidRPr="00E237A8" w:rsidRDefault="002D73ED" w:rsidP="00E237A8">
            <w:pPr>
              <w:spacing w:after="0" w:line="240" w:lineRule="auto"/>
              <w:rPr>
                <w:rFonts w:ascii="Times New Roman" w:hAnsi="Times New Roman"/>
                <w:sz w:val="24"/>
                <w:szCs w:val="24"/>
              </w:rPr>
            </w:pPr>
            <w:r w:rsidRPr="002D73ED">
              <w:rPr>
                <w:rFonts w:ascii="Times New Roman" w:hAnsi="Times New Roman"/>
                <w:b/>
                <w:sz w:val="24"/>
                <w:szCs w:val="24"/>
              </w:rPr>
              <w:t>в</w:t>
            </w:r>
            <w:r w:rsidR="00425FA1" w:rsidRPr="002D73ED">
              <w:rPr>
                <w:rFonts w:ascii="Times New Roman" w:hAnsi="Times New Roman"/>
                <w:b/>
                <w:sz w:val="24"/>
                <w:szCs w:val="24"/>
              </w:rPr>
              <w:t>)</w:t>
            </w:r>
            <w:r w:rsidR="00425FA1" w:rsidRPr="00E237A8">
              <w:rPr>
                <w:rFonts w:ascii="Times New Roman" w:hAnsi="Times New Roman"/>
                <w:sz w:val="24"/>
                <w:szCs w:val="24"/>
              </w:rPr>
              <w:t> передбачено обов’язкове щорічне оприлюднення агрегованих звітів принаймні щодо 100 найбільших підприємств державної форми власності (7%);</w:t>
            </w:r>
          </w:p>
          <w:p w:rsidR="00425FA1" w:rsidRPr="00E237A8" w:rsidRDefault="002D73ED" w:rsidP="00E237A8">
            <w:pPr>
              <w:spacing w:after="0" w:line="240" w:lineRule="auto"/>
              <w:rPr>
                <w:rFonts w:ascii="Times New Roman" w:hAnsi="Times New Roman"/>
                <w:sz w:val="24"/>
                <w:szCs w:val="24"/>
              </w:rPr>
            </w:pPr>
            <w:r w:rsidRPr="002D73ED">
              <w:rPr>
                <w:rFonts w:ascii="Times New Roman" w:hAnsi="Times New Roman"/>
                <w:b/>
                <w:sz w:val="24"/>
                <w:szCs w:val="24"/>
              </w:rPr>
              <w:t>г</w:t>
            </w:r>
            <w:r w:rsidR="00425FA1" w:rsidRPr="002D73ED">
              <w:rPr>
                <w:rFonts w:ascii="Times New Roman" w:hAnsi="Times New Roman"/>
                <w:b/>
                <w:sz w:val="24"/>
                <w:szCs w:val="24"/>
              </w:rPr>
              <w:t>)</w:t>
            </w:r>
            <w:r w:rsidR="00425FA1" w:rsidRPr="00E237A8">
              <w:rPr>
                <w:rFonts w:ascii="Times New Roman" w:hAnsi="Times New Roman"/>
                <w:sz w:val="24"/>
                <w:szCs w:val="24"/>
              </w:rPr>
              <w:t xml:space="preserve"> визначено обсяг </w:t>
            </w:r>
            <w:r w:rsidR="00425FA1" w:rsidRPr="00E620B9">
              <w:rPr>
                <w:rFonts w:ascii="Times New Roman" w:hAnsi="Times New Roman"/>
                <w:b/>
                <w:sz w:val="24"/>
                <w:szCs w:val="24"/>
              </w:rPr>
              <w:t>оприлюднення інформації</w:t>
            </w:r>
            <w:r w:rsidR="00425FA1" w:rsidRPr="00E237A8">
              <w:rPr>
                <w:rFonts w:ascii="Times New Roman" w:hAnsi="Times New Roman"/>
                <w:sz w:val="24"/>
                <w:szCs w:val="24"/>
              </w:rPr>
              <w:t xml:space="preserve">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(7%);</w:t>
            </w:r>
          </w:p>
          <w:p w:rsidR="00425FA1" w:rsidRPr="00E237A8" w:rsidRDefault="002D73ED" w:rsidP="00E237A8">
            <w:pPr>
              <w:spacing w:after="0" w:line="240" w:lineRule="auto"/>
              <w:rPr>
                <w:rFonts w:ascii="Times New Roman" w:hAnsi="Times New Roman"/>
                <w:sz w:val="24"/>
                <w:szCs w:val="24"/>
              </w:rPr>
            </w:pPr>
            <w:r w:rsidRPr="002D73ED">
              <w:rPr>
                <w:rFonts w:ascii="Times New Roman" w:hAnsi="Times New Roman"/>
                <w:b/>
                <w:sz w:val="24"/>
                <w:szCs w:val="24"/>
              </w:rPr>
              <w:t>ґ</w:t>
            </w:r>
            <w:r w:rsidR="00425FA1" w:rsidRPr="002D73ED">
              <w:rPr>
                <w:rFonts w:ascii="Times New Roman" w:hAnsi="Times New Roman"/>
                <w:b/>
                <w:sz w:val="24"/>
                <w:szCs w:val="24"/>
              </w:rPr>
              <w:t>)</w:t>
            </w:r>
            <w:r w:rsidR="00425FA1" w:rsidRPr="00E237A8">
              <w:rPr>
                <w:rFonts w:ascii="Times New Roman" w:hAnsi="Times New Roman"/>
                <w:sz w:val="24"/>
                <w:szCs w:val="24"/>
              </w:rPr>
              <w:t xml:space="preserve"> визначено критерії, за якими централізоване подання інформації </w:t>
            </w:r>
            <w:r w:rsidR="00425FA1" w:rsidRPr="00E620B9">
              <w:rPr>
                <w:rFonts w:ascii="Times New Roman" w:hAnsi="Times New Roman"/>
                <w:b/>
                <w:sz w:val="24"/>
                <w:szCs w:val="24"/>
              </w:rPr>
              <w:t xml:space="preserve">до </w:t>
            </w:r>
            <w:r w:rsidR="00E620B9" w:rsidRPr="00E620B9">
              <w:rPr>
                <w:rFonts w:ascii="Times New Roman" w:hAnsi="Times New Roman"/>
                <w:b/>
                <w:sz w:val="24"/>
                <w:szCs w:val="24"/>
              </w:rPr>
              <w:t>інформаційного ресурсу</w:t>
            </w:r>
            <w:r w:rsidR="00E620B9">
              <w:rPr>
                <w:rFonts w:ascii="Times New Roman" w:hAnsi="Times New Roman"/>
                <w:b/>
                <w:sz w:val="24"/>
                <w:szCs w:val="24"/>
              </w:rPr>
              <w:t xml:space="preserve"> </w:t>
            </w:r>
            <w:r w:rsidR="00B76D9A" w:rsidRPr="00E21EFB">
              <w:rPr>
                <w:rFonts w:ascii="Times New Roman" w:hAnsi="Times New Roman"/>
                <w:b/>
                <w:sz w:val="24"/>
                <w:szCs w:val="24"/>
                <w:lang w:bidi="uk-UA"/>
              </w:rPr>
              <w:t xml:space="preserve"> для</w:t>
            </w:r>
            <w:r w:rsidR="00B76D9A" w:rsidRPr="00944B48">
              <w:rPr>
                <w:rFonts w:ascii="Times New Roman" w:hAnsi="Times New Roman"/>
                <w:sz w:val="24"/>
                <w:szCs w:val="24"/>
                <w:lang w:bidi="uk-UA"/>
              </w:rPr>
              <w:t xml:space="preserve"> </w:t>
            </w:r>
            <w:r w:rsidR="00B76D9A" w:rsidRPr="003D6F87">
              <w:rPr>
                <w:rFonts w:ascii="Times New Roman" w:hAnsi="Times New Roman"/>
                <w:b/>
                <w:sz w:val="24"/>
                <w:szCs w:val="24"/>
                <w:lang w:bidi="uk-UA"/>
              </w:rPr>
              <w:t>оприлюднення інформації щодо підприємств державної та комунальної форми власності</w:t>
            </w:r>
            <w:r w:rsidR="00B76D9A">
              <w:rPr>
                <w:rFonts w:ascii="Times New Roman" w:hAnsi="Times New Roman"/>
                <w:sz w:val="24"/>
                <w:szCs w:val="24"/>
                <w:lang w:bidi="uk-UA"/>
              </w:rPr>
              <w:t xml:space="preserve"> </w:t>
            </w:r>
            <w:r w:rsidR="00425FA1" w:rsidRPr="00E237A8">
              <w:rPr>
                <w:rFonts w:ascii="Times New Roman" w:hAnsi="Times New Roman"/>
                <w:sz w:val="24"/>
                <w:szCs w:val="24"/>
              </w:rPr>
              <w:t>є обов’язковим для підприємств комунальної форми власності (7%);</w:t>
            </w:r>
          </w:p>
          <w:p w:rsidR="00425FA1" w:rsidRPr="00E237A8" w:rsidRDefault="002D73ED" w:rsidP="00E237A8">
            <w:pPr>
              <w:spacing w:after="0" w:line="240" w:lineRule="auto"/>
              <w:rPr>
                <w:rFonts w:ascii="Times New Roman" w:hAnsi="Times New Roman"/>
                <w:sz w:val="24"/>
                <w:szCs w:val="24"/>
              </w:rPr>
            </w:pPr>
            <w:r w:rsidRPr="002D73ED">
              <w:rPr>
                <w:rFonts w:ascii="Times New Roman" w:hAnsi="Times New Roman"/>
                <w:b/>
                <w:sz w:val="24"/>
                <w:szCs w:val="24"/>
              </w:rPr>
              <w:t>д</w:t>
            </w:r>
            <w:r w:rsidR="00425FA1" w:rsidRPr="002D73ED">
              <w:rPr>
                <w:rFonts w:ascii="Times New Roman" w:hAnsi="Times New Roman"/>
                <w:b/>
                <w:sz w:val="24"/>
                <w:szCs w:val="24"/>
              </w:rPr>
              <w:t>)</w:t>
            </w:r>
            <w:r w:rsidR="00425FA1" w:rsidRPr="00E237A8">
              <w:rPr>
                <w:rFonts w:ascii="Times New Roman" w:hAnsi="Times New Roman"/>
                <w:sz w:val="24"/>
                <w:szCs w:val="24"/>
              </w:rPr>
              <w:t xml:space="preserve"> визначено обсяг </w:t>
            </w:r>
            <w:r w:rsidR="00425FA1" w:rsidRPr="00B226EA">
              <w:rPr>
                <w:rFonts w:ascii="Times New Roman" w:hAnsi="Times New Roman"/>
                <w:b/>
                <w:sz w:val="24"/>
                <w:szCs w:val="24"/>
              </w:rPr>
              <w:t>оприлюднення інформації</w:t>
            </w:r>
            <w:r w:rsidR="00425FA1" w:rsidRPr="00E237A8">
              <w:rPr>
                <w:rFonts w:ascii="Times New Roman" w:hAnsi="Times New Roman"/>
                <w:sz w:val="24"/>
                <w:szCs w:val="24"/>
              </w:rPr>
              <w:t xml:space="preserve">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(7%);</w:t>
            </w:r>
          </w:p>
          <w:p w:rsidR="00425FA1" w:rsidRPr="00E237A8" w:rsidRDefault="002D73ED" w:rsidP="00E237A8">
            <w:pPr>
              <w:spacing w:after="0" w:line="240" w:lineRule="auto"/>
              <w:rPr>
                <w:rFonts w:ascii="Times New Roman" w:hAnsi="Times New Roman"/>
                <w:sz w:val="24"/>
                <w:szCs w:val="24"/>
              </w:rPr>
            </w:pPr>
            <w:r w:rsidRPr="002D73ED">
              <w:rPr>
                <w:rFonts w:ascii="Times New Roman" w:hAnsi="Times New Roman"/>
                <w:b/>
                <w:sz w:val="24"/>
                <w:szCs w:val="24"/>
              </w:rPr>
              <w:t>е</w:t>
            </w:r>
            <w:r w:rsidR="00425FA1" w:rsidRPr="002D73ED">
              <w:rPr>
                <w:rFonts w:ascii="Times New Roman" w:hAnsi="Times New Roman"/>
                <w:b/>
                <w:sz w:val="24"/>
                <w:szCs w:val="24"/>
              </w:rPr>
              <w:t>)</w:t>
            </w:r>
            <w:r w:rsidR="00425FA1" w:rsidRPr="00E237A8">
              <w:rPr>
                <w:rFonts w:ascii="Times New Roman" w:hAnsi="Times New Roman"/>
                <w:sz w:val="24"/>
                <w:szCs w:val="24"/>
              </w:rPr>
              <w:t xml:space="preserve"> передбачено </w:t>
            </w:r>
            <w:r w:rsidR="00425FA1" w:rsidRPr="00B226EA">
              <w:rPr>
                <w:rFonts w:ascii="Times New Roman" w:hAnsi="Times New Roman"/>
                <w:b/>
                <w:sz w:val="24"/>
                <w:szCs w:val="24"/>
              </w:rPr>
              <w:t>оприлюднення інформації</w:t>
            </w:r>
            <w:r w:rsidR="00425FA1" w:rsidRPr="00E237A8">
              <w:rPr>
                <w:rFonts w:ascii="Times New Roman" w:hAnsi="Times New Roman"/>
                <w:sz w:val="24"/>
                <w:szCs w:val="24"/>
              </w:rPr>
              <w:t xml:space="preserve"> про отриману державну допомогу підприємствами державної форми власності й підприємствами комунальної форми власності (7%);</w:t>
            </w:r>
          </w:p>
          <w:p w:rsidR="00425FA1" w:rsidRPr="00E237A8" w:rsidRDefault="002D73ED" w:rsidP="00E237A8">
            <w:pPr>
              <w:spacing w:after="0" w:line="240" w:lineRule="auto"/>
              <w:rPr>
                <w:rFonts w:ascii="Times New Roman" w:hAnsi="Times New Roman"/>
                <w:sz w:val="24"/>
                <w:szCs w:val="24"/>
                <w:lang w:bidi="uk-UA"/>
              </w:rPr>
            </w:pPr>
            <w:r w:rsidRPr="002D73ED">
              <w:rPr>
                <w:rFonts w:ascii="Times New Roman" w:hAnsi="Times New Roman"/>
                <w:b/>
                <w:sz w:val="24"/>
                <w:szCs w:val="24"/>
              </w:rPr>
              <w:t>є</w:t>
            </w:r>
            <w:r w:rsidR="00425FA1" w:rsidRPr="002D73ED">
              <w:rPr>
                <w:rFonts w:ascii="Times New Roman" w:hAnsi="Times New Roman"/>
                <w:b/>
                <w:sz w:val="24"/>
                <w:szCs w:val="24"/>
              </w:rPr>
              <w:t>)</w:t>
            </w:r>
            <w:r w:rsidR="00425FA1" w:rsidRPr="00E237A8">
              <w:rPr>
                <w:rFonts w:ascii="Times New Roman" w:hAnsi="Times New Roman"/>
                <w:sz w:val="24"/>
                <w:szCs w:val="24"/>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(8%)</w:t>
            </w:r>
          </w:p>
        </w:tc>
        <w:tc>
          <w:tcPr>
            <w:tcW w:w="295" w:type="pct"/>
            <w:gridSpan w:val="2"/>
          </w:tcPr>
          <w:p w:rsidR="00425FA1" w:rsidRPr="00E237A8" w:rsidRDefault="00425FA1" w:rsidP="00E237A8">
            <w:pPr>
              <w:tabs>
                <w:tab w:val="left" w:pos="4395"/>
              </w:tabs>
              <w:jc w:val="center"/>
              <w:rPr>
                <w:rFonts w:ascii="Times New Roman" w:hAnsi="Times New Roman"/>
                <w:sz w:val="24"/>
                <w:szCs w:val="24"/>
                <w:lang w:bidi="uk-UA"/>
              </w:rPr>
            </w:pPr>
            <w:r w:rsidRPr="00E237A8">
              <w:rPr>
                <w:rFonts w:ascii="Times New Roman" w:hAnsi="Times New Roman"/>
                <w:sz w:val="24"/>
                <w:szCs w:val="24"/>
                <w:lang w:bidi="uk-UA"/>
              </w:rPr>
              <w:lastRenderedPageBreak/>
              <w:t>50%</w:t>
            </w:r>
          </w:p>
        </w:tc>
        <w:tc>
          <w:tcPr>
            <w:tcW w:w="1086" w:type="pct"/>
            <w:gridSpan w:val="3"/>
          </w:tcPr>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офіційні друковані видання України</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 xml:space="preserve">офіційний </w:t>
            </w:r>
            <w:proofErr w:type="spellStart"/>
            <w:r w:rsidRPr="00E237A8">
              <w:rPr>
                <w:rFonts w:ascii="Times New Roman" w:hAnsi="Times New Roman"/>
                <w:sz w:val="24"/>
                <w:szCs w:val="24"/>
              </w:rPr>
              <w:t>вебсайт</w:t>
            </w:r>
            <w:proofErr w:type="spellEnd"/>
            <w:r w:rsidRPr="00E237A8">
              <w:rPr>
                <w:rFonts w:ascii="Times New Roman" w:hAnsi="Times New Roman"/>
                <w:sz w:val="24"/>
                <w:szCs w:val="24"/>
              </w:rPr>
              <w:t xml:space="preserve"> Верховної Ради України</w:t>
            </w:r>
          </w:p>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звіти за результатами огляду ОЕСР корпоративного управління державних підприємств в Україні</w:t>
            </w:r>
          </w:p>
        </w:tc>
        <w:tc>
          <w:tcPr>
            <w:tcW w:w="798" w:type="pct"/>
          </w:tcPr>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Закон чинності не набрав</w:t>
            </w:r>
          </w:p>
        </w:tc>
      </w:tr>
      <w:tr w:rsidR="00425FA1" w:rsidRPr="00E237A8" w:rsidTr="006F18E0">
        <w:tc>
          <w:tcPr>
            <w:tcW w:w="1001" w:type="pct"/>
            <w:vMerge/>
          </w:tcPr>
          <w:p w:rsidR="00425FA1" w:rsidRPr="00E237A8" w:rsidRDefault="00425FA1" w:rsidP="00E237A8">
            <w:pPr>
              <w:spacing w:after="0" w:line="240" w:lineRule="auto"/>
              <w:rPr>
                <w:rFonts w:ascii="Times New Roman" w:hAnsi="Times New Roman"/>
                <w:sz w:val="24"/>
                <w:szCs w:val="24"/>
                <w:lang w:bidi="uk-UA"/>
              </w:rPr>
            </w:pPr>
          </w:p>
        </w:tc>
        <w:tc>
          <w:tcPr>
            <w:tcW w:w="1820" w:type="pct"/>
            <w:gridSpan w:val="2"/>
          </w:tcPr>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2) </w:t>
            </w:r>
            <w:r w:rsidRPr="001E5FCA">
              <w:rPr>
                <w:rFonts w:ascii="Times New Roman" w:hAnsi="Times New Roman"/>
                <w:sz w:val="24"/>
                <w:szCs w:val="24"/>
              </w:rPr>
              <w:t>реєстр</w:t>
            </w:r>
            <w:r w:rsidR="001E5FCA">
              <w:rPr>
                <w:rFonts w:ascii="Times New Roman" w:hAnsi="Times New Roman"/>
                <w:sz w:val="24"/>
                <w:szCs w:val="24"/>
              </w:rPr>
              <w:t xml:space="preserve"> </w:t>
            </w:r>
            <w:r w:rsidRPr="00E237A8">
              <w:rPr>
                <w:rFonts w:ascii="Times New Roman" w:hAnsi="Times New Roman"/>
                <w:sz w:val="24"/>
                <w:szCs w:val="24"/>
              </w:rPr>
              <w:t xml:space="preserve">державних та комунальних унітарних підприємств, а також господарських товариств, у </w:t>
            </w:r>
            <w:r w:rsidRPr="00E237A8">
              <w:rPr>
                <w:rFonts w:ascii="Times New Roman" w:hAnsi="Times New Roman"/>
                <w:sz w:val="24"/>
                <w:szCs w:val="24"/>
              </w:rPr>
              <w:lastRenderedPageBreak/>
              <w:t>статутному капіталі яких понад 50 відсотків акцій (часток) належать державі або територіальній громаді:</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а) введено в промислов</w:t>
            </w:r>
            <w:sdt>
              <w:sdtPr>
                <w:rPr>
                  <w:rFonts w:ascii="Times New Roman" w:hAnsi="Times New Roman"/>
                  <w:sz w:val="24"/>
                  <w:szCs w:val="24"/>
                </w:rPr>
                <w:tag w:val="goog_rdk_42"/>
                <w:id w:val="1156179787"/>
              </w:sdtPr>
              <w:sdtEndPr/>
              <w:sdtContent/>
            </w:sdt>
            <w:r w:rsidRPr="00E237A8">
              <w:rPr>
                <w:rFonts w:ascii="Times New Roman" w:hAnsi="Times New Roman"/>
                <w:sz w:val="24"/>
                <w:szCs w:val="24"/>
              </w:rPr>
              <w:t xml:space="preserve">у експлуатацію </w:t>
            </w:r>
            <w:r w:rsidR="00C32881" w:rsidRPr="009820EF">
              <w:rPr>
                <w:rFonts w:ascii="Times New Roman" w:hAnsi="Times New Roman"/>
                <w:b/>
                <w:sz w:val="24"/>
                <w:szCs w:val="24"/>
                <w:highlight w:val="yellow"/>
                <w:lang w:bidi="uk-UA"/>
              </w:rPr>
              <w:t xml:space="preserve"> </w:t>
            </w:r>
            <w:r w:rsidR="00C32881" w:rsidRPr="00C32881">
              <w:rPr>
                <w:rFonts w:ascii="Times New Roman" w:hAnsi="Times New Roman"/>
                <w:b/>
                <w:sz w:val="24"/>
                <w:szCs w:val="24"/>
                <w:lang w:bidi="uk-UA"/>
              </w:rPr>
              <w:t>інформаційний ресурс для оприлюднення інформації щодо підприємств державної та комунальної форми власності</w:t>
            </w:r>
            <w:r w:rsidR="00C32881" w:rsidRPr="00E237A8">
              <w:rPr>
                <w:rFonts w:ascii="Times New Roman" w:hAnsi="Times New Roman"/>
                <w:sz w:val="24"/>
                <w:szCs w:val="24"/>
              </w:rPr>
              <w:t xml:space="preserve"> </w:t>
            </w:r>
            <w:r w:rsidRPr="00E237A8">
              <w:rPr>
                <w:rFonts w:ascii="Times New Roman" w:hAnsi="Times New Roman"/>
                <w:sz w:val="24"/>
                <w:szCs w:val="24"/>
              </w:rPr>
              <w:t>(4%);</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 xml:space="preserve">б) містить </w:t>
            </w:r>
            <w:r w:rsidR="00C32881" w:rsidRPr="00E237A8">
              <w:rPr>
                <w:rFonts w:ascii="Times New Roman" w:hAnsi="Times New Roman"/>
                <w:sz w:val="24"/>
                <w:szCs w:val="24"/>
              </w:rPr>
              <w:t xml:space="preserve"> </w:t>
            </w:r>
            <w:r w:rsidR="00C32881" w:rsidRPr="00C32881">
              <w:rPr>
                <w:rFonts w:ascii="Times New Roman" w:hAnsi="Times New Roman"/>
                <w:b/>
                <w:sz w:val="24"/>
                <w:szCs w:val="24"/>
              </w:rPr>
              <w:t>функціонал, необхідний</w:t>
            </w:r>
            <w:r w:rsidR="00C32881" w:rsidRPr="00E237A8">
              <w:rPr>
                <w:rFonts w:ascii="Times New Roman" w:hAnsi="Times New Roman"/>
                <w:sz w:val="24"/>
                <w:szCs w:val="24"/>
              </w:rPr>
              <w:t xml:space="preserve"> </w:t>
            </w:r>
            <w:r w:rsidRPr="00E237A8">
              <w:rPr>
                <w:rFonts w:ascii="Times New Roman" w:hAnsi="Times New Roman"/>
                <w:sz w:val="24"/>
                <w:szCs w:val="24"/>
              </w:rPr>
              <w:t xml:space="preserve">для подання та оприлюднення відомостей фінансової та </w:t>
            </w:r>
            <w:r w:rsidRPr="001E5FCA">
              <w:rPr>
                <w:rFonts w:ascii="Times New Roman" w:hAnsi="Times New Roman"/>
                <w:sz w:val="24"/>
                <w:szCs w:val="24"/>
              </w:rPr>
              <w:t>нефінансової</w:t>
            </w:r>
            <w:r w:rsidRPr="00E237A8">
              <w:rPr>
                <w:rFonts w:ascii="Times New Roman" w:hAnsi="Times New Roman"/>
                <w:sz w:val="24"/>
                <w:szCs w:val="24"/>
              </w:rPr>
              <w:t xml:space="preserve"> звітності підприємств державної та комунальної форми власності (або його інтегровано з іншими інформаційно-</w:t>
            </w:r>
            <w:sdt>
              <w:sdtPr>
                <w:rPr>
                  <w:rFonts w:ascii="Times New Roman" w:hAnsi="Times New Roman"/>
                  <w:sz w:val="24"/>
                  <w:szCs w:val="24"/>
                </w:rPr>
                <w:tag w:val="goog_rdk_43"/>
                <w:id w:val="-1575270380"/>
              </w:sdtPr>
              <w:sdtEndPr/>
              <w:sdtContent/>
            </w:sdt>
            <w:r w:rsidRPr="00E237A8">
              <w:rPr>
                <w:rFonts w:ascii="Times New Roman" w:hAnsi="Times New Roman"/>
                <w:sz w:val="24"/>
                <w:szCs w:val="24"/>
              </w:rPr>
              <w:t>телекомунікаційними системами чи програмним забезпеченням, яке передбачає збір, оприлюднення й аналіз відповідної інформації) (4%);</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в) містить функціонал, необхідний для подання та оприлюднення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(4%);</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 xml:space="preserve">г) містить функціонал для оприлюднення відомостей </w:t>
            </w:r>
            <w:r w:rsidR="002C72F7">
              <w:rPr>
                <w:rFonts w:ascii="Times New Roman" w:hAnsi="Times New Roman"/>
                <w:b/>
                <w:sz w:val="24"/>
                <w:szCs w:val="24"/>
              </w:rPr>
              <w:t>щодо підприємств</w:t>
            </w:r>
            <w:r w:rsidRPr="00E237A8">
              <w:rPr>
                <w:rFonts w:ascii="Times New Roman" w:hAnsi="Times New Roman"/>
                <w:sz w:val="24"/>
                <w:szCs w:val="24"/>
              </w:rPr>
              <w:t xml:space="preserve"> у вигляді набору відкритих даних, що дозволяє його автоматизоване оброблення електронними засобами (</w:t>
            </w:r>
            <w:proofErr w:type="spellStart"/>
            <w:r w:rsidRPr="00E237A8">
              <w:rPr>
                <w:rFonts w:ascii="Times New Roman" w:hAnsi="Times New Roman"/>
                <w:sz w:val="24"/>
                <w:szCs w:val="24"/>
              </w:rPr>
              <w:t>машинозчитування</w:t>
            </w:r>
            <w:proofErr w:type="spellEnd"/>
            <w:r w:rsidRPr="00E237A8">
              <w:rPr>
                <w:rFonts w:ascii="Times New Roman" w:hAnsi="Times New Roman"/>
                <w:sz w:val="24"/>
                <w:szCs w:val="24"/>
              </w:rPr>
              <w:t>) з метою повторного використання (4%);</w:t>
            </w:r>
          </w:p>
          <w:p w:rsidR="00425FA1" w:rsidRPr="00E237A8" w:rsidRDefault="00425FA1" w:rsidP="00DC624A">
            <w:pPr>
              <w:spacing w:after="0" w:line="240" w:lineRule="auto"/>
              <w:rPr>
                <w:rFonts w:ascii="Times New Roman" w:hAnsi="Times New Roman"/>
                <w:sz w:val="24"/>
                <w:szCs w:val="24"/>
                <w:lang w:bidi="uk-UA"/>
              </w:rPr>
            </w:pPr>
            <w:r w:rsidRPr="00E237A8">
              <w:rPr>
                <w:rFonts w:ascii="Times New Roman" w:hAnsi="Times New Roman"/>
                <w:sz w:val="24"/>
                <w:szCs w:val="24"/>
              </w:rPr>
              <w:t xml:space="preserve">ґ) інтегровано з </w:t>
            </w:r>
            <w:sdt>
              <w:sdtPr>
                <w:rPr>
                  <w:rFonts w:ascii="Times New Roman" w:hAnsi="Times New Roman"/>
                  <w:sz w:val="24"/>
                  <w:szCs w:val="24"/>
                </w:rPr>
                <w:tag w:val="goog_rdk_45"/>
                <w:id w:val="771667143"/>
              </w:sdtPr>
              <w:sdtEndPr/>
              <w:sdtContent/>
            </w:sdt>
            <w:proofErr w:type="spellStart"/>
            <w:r w:rsidRPr="00E237A8">
              <w:rPr>
                <w:rFonts w:ascii="Times New Roman" w:hAnsi="Times New Roman"/>
                <w:sz w:val="24"/>
                <w:szCs w:val="24"/>
              </w:rPr>
              <w:t>Рєстром</w:t>
            </w:r>
            <w:proofErr w:type="spellEnd"/>
            <w:r w:rsidRPr="00E237A8">
              <w:rPr>
                <w:rFonts w:ascii="Times New Roman" w:hAnsi="Times New Roman"/>
                <w:sz w:val="24"/>
                <w:szCs w:val="24"/>
              </w:rPr>
              <w:t xml:space="preserve"> державної допомоги (щодо надання відповідної допомоги підприємствам державної форми власності й підприємствам комунальної форми власності) (4%)</w:t>
            </w:r>
          </w:p>
        </w:tc>
        <w:tc>
          <w:tcPr>
            <w:tcW w:w="295" w:type="pct"/>
            <w:gridSpan w:val="2"/>
          </w:tcPr>
          <w:p w:rsidR="00425FA1" w:rsidRPr="00E237A8" w:rsidRDefault="00425FA1" w:rsidP="00E237A8">
            <w:pPr>
              <w:tabs>
                <w:tab w:val="left" w:pos="4395"/>
              </w:tabs>
              <w:jc w:val="center"/>
              <w:rPr>
                <w:rFonts w:ascii="Times New Roman" w:hAnsi="Times New Roman"/>
                <w:sz w:val="24"/>
                <w:szCs w:val="24"/>
                <w:lang w:bidi="uk-UA"/>
              </w:rPr>
            </w:pPr>
            <w:r w:rsidRPr="00E237A8">
              <w:rPr>
                <w:rFonts w:ascii="Times New Roman" w:hAnsi="Times New Roman"/>
                <w:sz w:val="24"/>
                <w:szCs w:val="24"/>
                <w:lang w:bidi="uk-UA"/>
              </w:rPr>
              <w:lastRenderedPageBreak/>
              <w:t>20%</w:t>
            </w:r>
          </w:p>
        </w:tc>
        <w:tc>
          <w:tcPr>
            <w:tcW w:w="1086" w:type="pct"/>
            <w:gridSpan w:val="3"/>
          </w:tcPr>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Фонд державного майна</w:t>
            </w:r>
          </w:p>
        </w:tc>
        <w:tc>
          <w:tcPr>
            <w:tcW w:w="798" w:type="pct"/>
          </w:tcPr>
          <w:p w:rsidR="00425FA1" w:rsidRPr="00E237A8" w:rsidRDefault="001E5FCA" w:rsidP="002D73ED">
            <w:pPr>
              <w:spacing w:after="0" w:line="240" w:lineRule="auto"/>
              <w:rPr>
                <w:rFonts w:ascii="Times New Roman" w:hAnsi="Times New Roman"/>
                <w:sz w:val="24"/>
                <w:szCs w:val="24"/>
                <w:lang w:bidi="uk-UA"/>
              </w:rPr>
            </w:pPr>
            <w:r w:rsidRPr="001E5FCA">
              <w:rPr>
                <w:rFonts w:ascii="Times New Roman" w:hAnsi="Times New Roman"/>
                <w:sz w:val="24"/>
                <w:szCs w:val="24"/>
              </w:rPr>
              <w:t>реєстр</w:t>
            </w:r>
            <w:r>
              <w:rPr>
                <w:rFonts w:ascii="Times New Roman" w:hAnsi="Times New Roman"/>
                <w:sz w:val="24"/>
                <w:szCs w:val="24"/>
              </w:rPr>
              <w:t xml:space="preserve"> </w:t>
            </w:r>
            <w:r w:rsidR="00425FA1" w:rsidRPr="00E237A8">
              <w:rPr>
                <w:rFonts w:ascii="Times New Roman" w:hAnsi="Times New Roman"/>
                <w:sz w:val="24"/>
                <w:szCs w:val="24"/>
              </w:rPr>
              <w:t xml:space="preserve">державних та комунальних </w:t>
            </w:r>
            <w:r w:rsidR="00425FA1" w:rsidRPr="00E237A8">
              <w:rPr>
                <w:rFonts w:ascii="Times New Roman" w:hAnsi="Times New Roman"/>
                <w:sz w:val="24"/>
                <w:szCs w:val="24"/>
              </w:rPr>
              <w:lastRenderedPageBreak/>
              <w:t>унітарних підприємств, зазначений в описі показника (індикатора) 2 цього очікуваного стратегічного результату досягнення не введено в промислову експлуатацію</w:t>
            </w:r>
          </w:p>
        </w:tc>
      </w:tr>
      <w:tr w:rsidR="00425FA1" w:rsidRPr="00197EA3" w:rsidTr="006F18E0">
        <w:tc>
          <w:tcPr>
            <w:tcW w:w="1001" w:type="pct"/>
            <w:vMerge/>
          </w:tcPr>
          <w:p w:rsidR="00425FA1" w:rsidRPr="00E237A8" w:rsidRDefault="00425FA1" w:rsidP="00E237A8">
            <w:pPr>
              <w:spacing w:after="0" w:line="240" w:lineRule="auto"/>
              <w:rPr>
                <w:rFonts w:ascii="Times New Roman" w:hAnsi="Times New Roman"/>
                <w:sz w:val="24"/>
                <w:szCs w:val="24"/>
                <w:lang w:bidi="uk-UA"/>
              </w:rPr>
            </w:pPr>
          </w:p>
        </w:tc>
        <w:tc>
          <w:tcPr>
            <w:tcW w:w="1820" w:type="pct"/>
            <w:gridSpan w:val="2"/>
          </w:tcPr>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3) щонайменше 80% фахівців у сферах регулювання економіки та діяльності бізнесу оцінюють, що:</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lastRenderedPageBreak/>
              <w:t xml:space="preserve">а) критерії для визначення підприємств комунальної форми власності, які мають обов’язково подавати інформацію до </w:t>
            </w:r>
            <w:r w:rsidR="0027067F" w:rsidRPr="0027067F">
              <w:rPr>
                <w:rFonts w:ascii="Times New Roman" w:hAnsi="Times New Roman"/>
                <w:b/>
                <w:sz w:val="24"/>
                <w:szCs w:val="24"/>
              </w:rPr>
              <w:t>інформаційного ресурсу</w:t>
            </w:r>
            <w:r w:rsidRPr="0027067F">
              <w:rPr>
                <w:rFonts w:ascii="Times New Roman" w:hAnsi="Times New Roman"/>
                <w:b/>
                <w:sz w:val="24"/>
                <w:szCs w:val="24"/>
              </w:rPr>
              <w:t>,</w:t>
            </w:r>
            <w:r w:rsidRPr="00E237A8">
              <w:rPr>
                <w:rFonts w:ascii="Times New Roman" w:hAnsi="Times New Roman"/>
                <w:sz w:val="24"/>
                <w:szCs w:val="24"/>
              </w:rPr>
              <w:t xml:space="preserve"> повністю або здебільшого є обґрунтованими та збалансованими (5%);</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б) на практиці своєчасно та належно оприлюднюються повні та достовірні агреговані звіти про діяльність принаймні 100 найбільших підприємств державної форми власності (5%);</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в) на практиці інформація про діяльність підприємств державної форми власності оприлюднюється в обсязі, що повністю відповідає Керівним принципам ОЕСР щодо корпоративного врядування на підприємствах державної форми власності (5%);</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г) на практиці формат оприлюднення інформації про діяльність підприємств державної форми власності повністю або здебільшого забезпечує прозорість, відкритість та зручність доступу до інформації про діяльність підприємств державної форми власності (5%);</w:t>
            </w:r>
          </w:p>
          <w:p w:rsidR="00425FA1" w:rsidRPr="00E237A8" w:rsidRDefault="00425FA1" w:rsidP="00E237A8">
            <w:pPr>
              <w:spacing w:after="0" w:line="240" w:lineRule="auto"/>
              <w:rPr>
                <w:rFonts w:ascii="Times New Roman" w:hAnsi="Times New Roman"/>
                <w:sz w:val="24"/>
                <w:szCs w:val="24"/>
              </w:rPr>
            </w:pPr>
            <w:r w:rsidRPr="00E237A8">
              <w:rPr>
                <w:rFonts w:ascii="Times New Roman" w:hAnsi="Times New Roman"/>
                <w:sz w:val="24"/>
                <w:szCs w:val="24"/>
              </w:rPr>
              <w:t>ґ) на практиці неупереджено та безсторонньо застосовуються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 (5%);</w:t>
            </w:r>
          </w:p>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д) на практиці запроваджено дієвий, ефективний та в необхідному обсязі обмін даними стосовно діяльності підприємств державної або комунальної форми власності (5%)</w:t>
            </w:r>
          </w:p>
        </w:tc>
        <w:tc>
          <w:tcPr>
            <w:tcW w:w="295" w:type="pct"/>
            <w:gridSpan w:val="2"/>
          </w:tcPr>
          <w:p w:rsidR="00425FA1" w:rsidRPr="00E237A8" w:rsidRDefault="00425FA1" w:rsidP="00E237A8">
            <w:pPr>
              <w:tabs>
                <w:tab w:val="left" w:pos="4395"/>
              </w:tabs>
              <w:jc w:val="center"/>
              <w:rPr>
                <w:rFonts w:ascii="Times New Roman" w:hAnsi="Times New Roman"/>
                <w:sz w:val="24"/>
                <w:szCs w:val="24"/>
                <w:lang w:bidi="uk-UA"/>
              </w:rPr>
            </w:pPr>
            <w:r w:rsidRPr="00E237A8">
              <w:rPr>
                <w:rFonts w:ascii="Times New Roman" w:hAnsi="Times New Roman"/>
                <w:sz w:val="24"/>
                <w:szCs w:val="24"/>
                <w:lang w:bidi="uk-UA"/>
              </w:rPr>
              <w:lastRenderedPageBreak/>
              <w:t>30%</w:t>
            </w:r>
          </w:p>
        </w:tc>
        <w:tc>
          <w:tcPr>
            <w:tcW w:w="1086" w:type="pct"/>
            <w:gridSpan w:val="3"/>
          </w:tcPr>
          <w:p w:rsidR="00425FA1" w:rsidRPr="00E237A8"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експертне опитування, організоване Національним агентством</w:t>
            </w:r>
          </w:p>
        </w:tc>
        <w:tc>
          <w:tcPr>
            <w:tcW w:w="798" w:type="pct"/>
          </w:tcPr>
          <w:p w:rsidR="00425FA1" w:rsidRPr="00197EA3" w:rsidRDefault="00425FA1" w:rsidP="00E237A8">
            <w:pPr>
              <w:spacing w:after="0" w:line="240" w:lineRule="auto"/>
              <w:rPr>
                <w:rFonts w:ascii="Times New Roman" w:hAnsi="Times New Roman"/>
                <w:sz w:val="24"/>
                <w:szCs w:val="24"/>
                <w:lang w:bidi="uk-UA"/>
              </w:rPr>
            </w:pPr>
            <w:r w:rsidRPr="00E237A8">
              <w:rPr>
                <w:rFonts w:ascii="Times New Roman" w:hAnsi="Times New Roman"/>
                <w:sz w:val="24"/>
                <w:szCs w:val="24"/>
              </w:rPr>
              <w:t>експертне опитування не проводилося</w:t>
            </w:r>
          </w:p>
        </w:tc>
      </w:tr>
    </w:tbl>
    <w:p w:rsidR="002E40E8" w:rsidRDefault="002E40E8"/>
    <w:sectPr w:rsidR="002E40E8" w:rsidSect="002C72F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A1"/>
    <w:rsid w:val="0011155F"/>
    <w:rsid w:val="00177C9D"/>
    <w:rsid w:val="001E5FCA"/>
    <w:rsid w:val="0027067F"/>
    <w:rsid w:val="002709AC"/>
    <w:rsid w:val="002C72F7"/>
    <w:rsid w:val="002D73ED"/>
    <w:rsid w:val="002E40E8"/>
    <w:rsid w:val="00425FA1"/>
    <w:rsid w:val="00474BCC"/>
    <w:rsid w:val="004A6D8D"/>
    <w:rsid w:val="006965A7"/>
    <w:rsid w:val="006F18E0"/>
    <w:rsid w:val="0079355B"/>
    <w:rsid w:val="007D5C55"/>
    <w:rsid w:val="008923AE"/>
    <w:rsid w:val="008B04EF"/>
    <w:rsid w:val="00A27595"/>
    <w:rsid w:val="00A35070"/>
    <w:rsid w:val="00B1630F"/>
    <w:rsid w:val="00B226EA"/>
    <w:rsid w:val="00B76D9A"/>
    <w:rsid w:val="00B835D9"/>
    <w:rsid w:val="00B845E1"/>
    <w:rsid w:val="00C32881"/>
    <w:rsid w:val="00C407FF"/>
    <w:rsid w:val="00CB54EE"/>
    <w:rsid w:val="00DC624A"/>
    <w:rsid w:val="00E237A8"/>
    <w:rsid w:val="00E620B9"/>
    <w:rsid w:val="00EF2757"/>
    <w:rsid w:val="00EF73B4"/>
    <w:rsid w:val="00F3066A"/>
    <w:rsid w:val="00F93430"/>
    <w:rsid w:val="00FA2C77"/>
    <w:rsid w:val="00FC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64DCF-DE4D-419F-83F1-BE72549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FA1"/>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FA1"/>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425FA1"/>
  </w:style>
  <w:style w:type="paragraph" w:styleId="a4">
    <w:name w:val="Balloon Text"/>
    <w:basedOn w:val="a"/>
    <w:link w:val="a5"/>
    <w:uiPriority w:val="99"/>
    <w:semiHidden/>
    <w:unhideWhenUsed/>
    <w:rsid w:val="00B163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630F"/>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Людмила Михайлівна</dc:creator>
  <cp:keywords/>
  <dc:description/>
  <cp:lastModifiedBy>МУШТАТЕНКО Ірина Олександрівна</cp:lastModifiedBy>
  <cp:revision>3</cp:revision>
  <cp:lastPrinted>2022-12-02T10:24:00Z</cp:lastPrinted>
  <dcterms:created xsi:type="dcterms:W3CDTF">2022-12-02T10:25:00Z</dcterms:created>
  <dcterms:modified xsi:type="dcterms:W3CDTF">2022-12-02T11:27:00Z</dcterms:modified>
</cp:coreProperties>
</file>