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E5BCA" w:rsidRPr="00F2099F" w:rsidRDefault="00AF2EF1" w:rsidP="00F2099F">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8"/>
          <w:szCs w:val="28"/>
        </w:rPr>
      </w:pPr>
      <w:bookmarkStart w:id="0" w:name="_GoBack"/>
      <w:bookmarkEnd w:id="0"/>
      <w:r w:rsidRPr="00F2099F">
        <w:rPr>
          <w:rFonts w:ascii="Times New Roman" w:eastAsia="Times New Roman" w:hAnsi="Times New Roman" w:cs="Times New Roman"/>
          <w:b/>
          <w:sz w:val="28"/>
          <w:szCs w:val="28"/>
        </w:rPr>
        <w:t>ПОРІВНЯЛЬНА ТАБЛИЦЯ</w:t>
      </w:r>
    </w:p>
    <w:p w:rsidR="00BE5BCA" w:rsidRPr="00F2099F" w:rsidRDefault="00AF2EF1" w:rsidP="00F2099F">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8"/>
          <w:szCs w:val="28"/>
        </w:rPr>
      </w:pPr>
      <w:r w:rsidRPr="00F2099F">
        <w:rPr>
          <w:rFonts w:ascii="Times New Roman" w:eastAsia="Times New Roman" w:hAnsi="Times New Roman" w:cs="Times New Roman"/>
          <w:b/>
          <w:sz w:val="28"/>
          <w:szCs w:val="28"/>
        </w:rPr>
        <w:t xml:space="preserve"> до проекту Закону України «Про внесення змін до деяких законодавчих актів України щодо врегулювання питання виплати винагороди викривачу»</w:t>
      </w:r>
    </w:p>
    <w:tbl>
      <w:tblPr>
        <w:tblStyle w:val="af2"/>
        <w:tblW w:w="15510" w:type="dxa"/>
        <w:tblInd w:w="-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740"/>
        <w:gridCol w:w="7770"/>
      </w:tblGrid>
      <w:tr w:rsidR="00BE5BCA">
        <w:trPr>
          <w:trHeight w:val="218"/>
        </w:trPr>
        <w:tc>
          <w:tcPr>
            <w:tcW w:w="7740" w:type="dxa"/>
            <w:tcBorders>
              <w:right w:val="single" w:sz="4" w:space="0" w:color="000000"/>
            </w:tcBorders>
            <w:tcMar>
              <w:top w:w="0" w:type="dxa"/>
              <w:bottom w:w="0" w:type="dxa"/>
            </w:tcMar>
          </w:tcPr>
          <w:p w:rsidR="00BE5BCA" w:rsidRDefault="00AF2EF1">
            <w:pPr>
              <w:jc w:val="center"/>
              <w:rPr>
                <w:sz w:val="28"/>
                <w:szCs w:val="28"/>
              </w:rPr>
            </w:pPr>
            <w:r>
              <w:rPr>
                <w:rFonts w:ascii="Times New Roman" w:eastAsia="Times New Roman" w:hAnsi="Times New Roman" w:cs="Times New Roman"/>
                <w:sz w:val="28"/>
                <w:szCs w:val="28"/>
              </w:rPr>
              <w:t>Зміст положення чинного законодавства</w:t>
            </w:r>
          </w:p>
        </w:tc>
        <w:tc>
          <w:tcPr>
            <w:tcW w:w="7770" w:type="dxa"/>
            <w:tcBorders>
              <w:left w:val="single" w:sz="4" w:space="0" w:color="000000"/>
            </w:tcBorders>
          </w:tcPr>
          <w:p w:rsidR="00BE5BCA" w:rsidRDefault="00AF2EF1">
            <w:pPr>
              <w:ind w:left="245"/>
              <w:jc w:val="center"/>
              <w:rPr>
                <w:sz w:val="28"/>
                <w:szCs w:val="28"/>
              </w:rPr>
            </w:pPr>
            <w:r>
              <w:rPr>
                <w:rFonts w:ascii="Times New Roman" w:eastAsia="Times New Roman" w:hAnsi="Times New Roman" w:cs="Times New Roman"/>
                <w:sz w:val="28"/>
                <w:szCs w:val="28"/>
              </w:rPr>
              <w:t>Зміст відповідного положення проєкту акта</w:t>
            </w:r>
          </w:p>
        </w:tc>
      </w:tr>
      <w:tr w:rsidR="00BE5BCA">
        <w:trPr>
          <w:trHeight w:val="268"/>
        </w:trPr>
        <w:tc>
          <w:tcPr>
            <w:tcW w:w="15510" w:type="dxa"/>
            <w:gridSpan w:val="2"/>
            <w:tcMar>
              <w:top w:w="0" w:type="dxa"/>
              <w:bottom w:w="0" w:type="dxa"/>
            </w:tcMar>
          </w:tcPr>
          <w:p w:rsidR="00BE5BCA" w:rsidRDefault="00AF2EF1">
            <w:pPr>
              <w:jc w:val="center"/>
            </w:pPr>
            <w:r>
              <w:t xml:space="preserve">     </w:t>
            </w:r>
            <w:r>
              <w:rPr>
                <w:rFonts w:ascii="Times New Roman" w:eastAsia="Times New Roman" w:hAnsi="Times New Roman" w:cs="Times New Roman"/>
                <w:b/>
                <w:sz w:val="24"/>
                <w:szCs w:val="24"/>
              </w:rPr>
              <w:t>КРИМІНАЛЬНИЙ  ПРОЦЕСУАЛЬНИЙ КОДЕКС  УКРАЇНИ</w:t>
            </w:r>
          </w:p>
        </w:tc>
      </w:tr>
      <w:tr w:rsidR="00BE5BCA">
        <w:trPr>
          <w:trHeight w:val="4045"/>
        </w:trPr>
        <w:tc>
          <w:tcPr>
            <w:tcW w:w="7740" w:type="dxa"/>
            <w:tcBorders>
              <w:bottom w:val="single" w:sz="4" w:space="0" w:color="000000"/>
            </w:tcBorders>
            <w:tcMar>
              <w:top w:w="0" w:type="dxa"/>
              <w:bottom w:w="0" w:type="dxa"/>
            </w:tcMar>
          </w:tcPr>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стаття 3.  Визначення термінів</w:t>
            </w:r>
          </w:p>
          <w:p w:rsidR="00BE5BCA" w:rsidRDefault="00AF2EF1">
            <w:pPr>
              <w:numPr>
                <w:ilvl w:val="0"/>
                <w:numId w:val="2"/>
              </w:numPr>
              <w:shd w:val="clear" w:color="auto" w:fill="FFFFFF"/>
              <w:spacing w:after="0" w:line="240" w:lineRule="auto"/>
              <w:jc w:val="both"/>
              <w:rPr>
                <w:rFonts w:ascii="Times New Roman" w:eastAsia="Times New Roman" w:hAnsi="Times New Roman" w:cs="Times New Roman"/>
                <w:sz w:val="26"/>
                <w:szCs w:val="26"/>
              </w:rPr>
            </w:pPr>
            <w:r>
              <w:rPr>
                <w:rFonts w:ascii="Times New Roman" w:eastAsia="Times New Roman" w:hAnsi="Times New Roman" w:cs="Times New Roman"/>
                <w:sz w:val="26"/>
                <w:szCs w:val="26"/>
                <w:highlight w:val="white"/>
              </w:rPr>
              <w:t>Терміни, що їх вжито в цьому Кодексі, якщо немає окремих вказівок, мають таке значення:</w:t>
            </w:r>
          </w:p>
          <w:p w:rsidR="00BE5BCA" w:rsidRDefault="00AF2EF1">
            <w:pPr>
              <w:shd w:val="clear" w:color="auto" w:fill="FFFFFF"/>
              <w:spacing w:after="0" w:line="240" w:lineRule="auto"/>
              <w:ind w:left="720"/>
              <w:jc w:val="both"/>
              <w:rPr>
                <w:rFonts w:ascii="Times New Roman" w:eastAsia="Times New Roman" w:hAnsi="Times New Roman" w:cs="Times New Roman"/>
                <w:sz w:val="26"/>
                <w:szCs w:val="26"/>
                <w:highlight w:val="white"/>
              </w:rPr>
            </w:pPr>
            <w:r>
              <w:rPr>
                <w:rFonts w:ascii="Times New Roman" w:eastAsia="Times New Roman" w:hAnsi="Times New Roman" w:cs="Times New Roman"/>
                <w:sz w:val="26"/>
                <w:szCs w:val="26"/>
                <w:highlight w:val="white"/>
              </w:rPr>
              <w:t>…</w:t>
            </w:r>
          </w:p>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highlight w:val="white"/>
              </w:rPr>
              <w:t>16</w:t>
            </w:r>
            <w:r>
              <w:rPr>
                <w:rFonts w:ascii="Times New Roman" w:eastAsia="Times New Roman" w:hAnsi="Times New Roman" w:cs="Times New Roman"/>
                <w:sz w:val="26"/>
                <w:szCs w:val="26"/>
                <w:highlight w:val="white"/>
                <w:vertAlign w:val="superscript"/>
              </w:rPr>
              <w:t>-2</w:t>
            </w:r>
            <w:r>
              <w:rPr>
                <w:rFonts w:ascii="Times New Roman" w:eastAsia="Times New Roman" w:hAnsi="Times New Roman" w:cs="Times New Roman"/>
                <w:sz w:val="26"/>
                <w:szCs w:val="26"/>
                <w:highlight w:val="white"/>
              </w:rPr>
              <w:t>) викривач - фізична особа, яка за наявності переконання, що інформація є достовірною, звернулася із заявою або повідомленням про корупційне кримінальне правопорушення до органу досудового розслідування;</w:t>
            </w:r>
          </w:p>
          <w:p w:rsidR="00BE5BCA" w:rsidRDefault="00BE5BCA">
            <w:pPr>
              <w:shd w:val="clear" w:color="auto" w:fill="FFFFFF"/>
              <w:spacing w:after="0" w:line="240" w:lineRule="auto"/>
              <w:ind w:firstLine="450"/>
              <w:jc w:val="both"/>
              <w:rPr>
                <w:rFonts w:ascii="Times New Roman" w:eastAsia="Times New Roman" w:hAnsi="Times New Roman" w:cs="Times New Roman"/>
                <w:b/>
                <w:sz w:val="26"/>
                <w:szCs w:val="26"/>
              </w:rPr>
            </w:pPr>
          </w:p>
          <w:p w:rsidR="00BE5BCA" w:rsidRDefault="00BE5BCA">
            <w:pPr>
              <w:shd w:val="clear" w:color="auto" w:fill="FFFFFF"/>
              <w:spacing w:after="0" w:line="240" w:lineRule="auto"/>
              <w:ind w:firstLine="460"/>
              <w:jc w:val="both"/>
              <w:rPr>
                <w:rFonts w:ascii="Times New Roman" w:eastAsia="Times New Roman" w:hAnsi="Times New Roman" w:cs="Times New Roman"/>
                <w:sz w:val="26"/>
                <w:szCs w:val="26"/>
              </w:rPr>
            </w:pPr>
          </w:p>
        </w:tc>
        <w:tc>
          <w:tcPr>
            <w:tcW w:w="7770" w:type="dxa"/>
            <w:tcBorders>
              <w:bottom w:val="single" w:sz="4" w:space="0" w:color="000000"/>
            </w:tcBorders>
            <w:tcMar>
              <w:top w:w="0" w:type="dxa"/>
              <w:bottom w:w="0" w:type="dxa"/>
            </w:tcMar>
          </w:tcPr>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стаття 3.  Визначення термінів</w:t>
            </w:r>
          </w:p>
          <w:p w:rsidR="00BE5BCA" w:rsidRDefault="00AF2EF1">
            <w:pPr>
              <w:numPr>
                <w:ilvl w:val="0"/>
                <w:numId w:val="1"/>
              </w:numPr>
              <w:shd w:val="clear" w:color="auto" w:fill="FFFFFF"/>
              <w:spacing w:after="0" w:line="240" w:lineRule="auto"/>
              <w:jc w:val="both"/>
              <w:rPr>
                <w:rFonts w:ascii="Times New Roman" w:eastAsia="Times New Roman" w:hAnsi="Times New Roman" w:cs="Times New Roman"/>
                <w:sz w:val="26"/>
                <w:szCs w:val="26"/>
                <w:highlight w:val="white"/>
              </w:rPr>
            </w:pPr>
            <w:r>
              <w:rPr>
                <w:rFonts w:ascii="Times New Roman" w:eastAsia="Times New Roman" w:hAnsi="Times New Roman" w:cs="Times New Roman"/>
                <w:sz w:val="26"/>
                <w:szCs w:val="26"/>
                <w:highlight w:val="white"/>
              </w:rPr>
              <w:t>Терміни, що їх вжито в цьому Кодексі, якщо немає окремих вказівок, мають таке значення:</w:t>
            </w:r>
          </w:p>
          <w:p w:rsidR="00BE5BCA" w:rsidRDefault="00AF2EF1">
            <w:pPr>
              <w:shd w:val="clear" w:color="auto" w:fill="FFFFFF"/>
              <w:spacing w:after="0" w:line="240" w:lineRule="auto"/>
              <w:ind w:left="720"/>
              <w:jc w:val="both"/>
              <w:rPr>
                <w:rFonts w:ascii="Times New Roman" w:eastAsia="Times New Roman" w:hAnsi="Times New Roman" w:cs="Times New Roman"/>
                <w:sz w:val="26"/>
                <w:szCs w:val="26"/>
                <w:highlight w:val="white"/>
              </w:rPr>
            </w:pPr>
            <w:r>
              <w:rPr>
                <w:rFonts w:ascii="Times New Roman" w:eastAsia="Times New Roman" w:hAnsi="Times New Roman" w:cs="Times New Roman"/>
                <w:sz w:val="26"/>
                <w:szCs w:val="26"/>
                <w:highlight w:val="white"/>
              </w:rPr>
              <w:t>…</w:t>
            </w:r>
          </w:p>
          <w:p w:rsidR="00BE5BCA" w:rsidRDefault="00AF2EF1">
            <w:pPr>
              <w:shd w:val="clear" w:color="auto" w:fill="FFFFFF"/>
              <w:spacing w:after="0" w:line="240" w:lineRule="auto"/>
              <w:ind w:firstLine="450"/>
              <w:jc w:val="both"/>
              <w:rPr>
                <w:rFonts w:ascii="Times New Roman" w:eastAsia="Times New Roman" w:hAnsi="Times New Roman" w:cs="Times New Roman"/>
                <w:b/>
                <w:sz w:val="26"/>
                <w:szCs w:val="26"/>
              </w:rPr>
            </w:pPr>
            <w:r>
              <w:rPr>
                <w:rFonts w:ascii="Times New Roman" w:eastAsia="Times New Roman" w:hAnsi="Times New Roman" w:cs="Times New Roman"/>
                <w:sz w:val="26"/>
                <w:szCs w:val="26"/>
                <w:highlight w:val="white"/>
              </w:rPr>
              <w:t>16</w:t>
            </w:r>
            <w:r>
              <w:rPr>
                <w:rFonts w:ascii="Times New Roman" w:eastAsia="Times New Roman" w:hAnsi="Times New Roman" w:cs="Times New Roman"/>
                <w:sz w:val="26"/>
                <w:szCs w:val="26"/>
                <w:highlight w:val="white"/>
                <w:vertAlign w:val="superscript"/>
              </w:rPr>
              <w:t>-2</w:t>
            </w:r>
            <w:r>
              <w:rPr>
                <w:rFonts w:ascii="Times New Roman" w:eastAsia="Times New Roman" w:hAnsi="Times New Roman" w:cs="Times New Roman"/>
                <w:sz w:val="26"/>
                <w:szCs w:val="26"/>
                <w:highlight w:val="white"/>
              </w:rPr>
              <w:t xml:space="preserve">) викривач – фізична особа, яка за наявності переконання, що інформація є достовірною, звернулася із заявою або повідомленням про корупційне кримінальне правопорушення до органу досудового розслідування </w:t>
            </w:r>
            <w:r>
              <w:rPr>
                <w:rFonts w:ascii="Times New Roman" w:eastAsia="Times New Roman" w:hAnsi="Times New Roman" w:cs="Times New Roman"/>
                <w:b/>
                <w:sz w:val="26"/>
                <w:szCs w:val="26"/>
                <w:highlight w:val="white"/>
              </w:rPr>
              <w:t xml:space="preserve">або прокурора, якщо така інформація стала їй відома у зв’язку з її трудовою, професійною, господарською, громадською, науковою діяльністю, проходженням нею служби чи навчання або її участю у передбачених законодавством процедурах, які є обов’язковими для початку такої діяльності, </w:t>
            </w:r>
            <w:r>
              <w:rPr>
                <w:rFonts w:ascii="Times New Roman" w:eastAsia="Times New Roman" w:hAnsi="Times New Roman" w:cs="Times New Roman"/>
                <w:b/>
                <w:sz w:val="26"/>
                <w:szCs w:val="26"/>
              </w:rPr>
              <w:t>проходження служби чи навчання</w:t>
            </w:r>
            <w:r>
              <w:rPr>
                <w:rFonts w:ascii="Times New Roman" w:eastAsia="Times New Roman" w:hAnsi="Times New Roman" w:cs="Times New Roman"/>
                <w:b/>
                <w:sz w:val="26"/>
                <w:szCs w:val="26"/>
                <w:highlight w:val="white"/>
              </w:rPr>
              <w:t>;</w:t>
            </w:r>
          </w:p>
        </w:tc>
      </w:tr>
      <w:tr w:rsidR="00BE5BCA">
        <w:trPr>
          <w:trHeight w:val="2325"/>
        </w:trPr>
        <w:tc>
          <w:tcPr>
            <w:tcW w:w="7740" w:type="dxa"/>
            <w:tcBorders>
              <w:top w:val="single" w:sz="4" w:space="0" w:color="000000"/>
              <w:bottom w:val="single" w:sz="4" w:space="0" w:color="000000"/>
            </w:tcBorders>
            <w:tcMar>
              <w:top w:w="0" w:type="dxa"/>
              <w:bottom w:w="0" w:type="dxa"/>
            </w:tcMar>
          </w:tcPr>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Стаття 130</w:t>
            </w:r>
            <w:r>
              <w:rPr>
                <w:rFonts w:ascii="Times New Roman" w:eastAsia="Times New Roman" w:hAnsi="Times New Roman" w:cs="Times New Roman"/>
                <w:sz w:val="26"/>
                <w:szCs w:val="26"/>
                <w:vertAlign w:val="superscript"/>
              </w:rPr>
              <w:t>-1</w:t>
            </w:r>
            <w:r>
              <w:rPr>
                <w:rFonts w:ascii="Times New Roman" w:eastAsia="Times New Roman" w:hAnsi="Times New Roman" w:cs="Times New Roman"/>
                <w:sz w:val="26"/>
                <w:szCs w:val="26"/>
              </w:rPr>
              <w:t>. Виплата винагороди викривачу</w:t>
            </w:r>
            <w:bookmarkStart w:id="1" w:name="bookmark=id.gjdgxs" w:colFirst="0" w:colLast="0"/>
            <w:bookmarkEnd w:id="1"/>
          </w:p>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w:t>
            </w:r>
          </w:p>
          <w:p w:rsidR="00BE5BCA" w:rsidRDefault="00AF2EF1">
            <w:pPr>
              <w:shd w:val="clear" w:color="auto" w:fill="FFFFFF"/>
              <w:spacing w:after="0" w:line="240" w:lineRule="auto"/>
              <w:ind w:firstLine="450"/>
              <w:jc w:val="both"/>
              <w:rPr>
                <w:rFonts w:ascii="Times New Roman" w:eastAsia="Times New Roman" w:hAnsi="Times New Roman" w:cs="Times New Roman"/>
                <w:b/>
                <w:i/>
                <w:strike/>
                <w:sz w:val="26"/>
                <w:szCs w:val="26"/>
              </w:rPr>
            </w:pPr>
            <w:r>
              <w:rPr>
                <w:rFonts w:ascii="Times New Roman" w:eastAsia="Times New Roman" w:hAnsi="Times New Roman" w:cs="Times New Roman"/>
                <w:b/>
                <w:i/>
                <w:strike/>
                <w:sz w:val="26"/>
                <w:szCs w:val="26"/>
              </w:rPr>
              <w:t>4. Винагорода виплачується викривачу за рахунок Державного бюджету України органами державного казначейства.</w:t>
            </w:r>
            <w:bookmarkStart w:id="2" w:name="bookmark=id.2s8eyo1" w:colFirst="0" w:colLast="0"/>
            <w:bookmarkEnd w:id="2"/>
          </w:p>
          <w:p w:rsidR="00BE5BCA" w:rsidRDefault="00BE5BCA">
            <w:pPr>
              <w:shd w:val="clear" w:color="auto" w:fill="FFFFFF"/>
              <w:spacing w:after="0" w:line="240" w:lineRule="auto"/>
              <w:ind w:firstLine="450"/>
              <w:jc w:val="both"/>
              <w:rPr>
                <w:rFonts w:ascii="Times New Roman" w:eastAsia="Times New Roman" w:hAnsi="Times New Roman" w:cs="Times New Roman"/>
                <w:b/>
                <w:i/>
                <w:strike/>
                <w:sz w:val="26"/>
                <w:szCs w:val="26"/>
              </w:rPr>
            </w:pPr>
          </w:p>
          <w:p w:rsidR="00BE5BCA" w:rsidRDefault="00AF2EF1">
            <w:pPr>
              <w:shd w:val="clear" w:color="auto" w:fill="FFFFFF"/>
              <w:spacing w:after="0" w:line="240" w:lineRule="auto"/>
              <w:ind w:firstLine="450"/>
              <w:jc w:val="both"/>
              <w:rPr>
                <w:rFonts w:ascii="Times New Roman" w:eastAsia="Times New Roman" w:hAnsi="Times New Roman" w:cs="Times New Roman"/>
                <w:b/>
                <w:i/>
                <w:strike/>
                <w:sz w:val="26"/>
                <w:szCs w:val="26"/>
              </w:rPr>
            </w:pPr>
            <w:r>
              <w:rPr>
                <w:rFonts w:ascii="Times New Roman" w:eastAsia="Times New Roman" w:hAnsi="Times New Roman" w:cs="Times New Roman"/>
                <w:b/>
                <w:i/>
                <w:strike/>
                <w:sz w:val="26"/>
                <w:szCs w:val="26"/>
              </w:rPr>
              <w:t>5. Винагорода виплачується викривачу за процедурою безспірного списання.</w:t>
            </w:r>
          </w:p>
          <w:p w:rsidR="00BE5BCA" w:rsidRDefault="00BE5BCA">
            <w:pPr>
              <w:shd w:val="clear" w:color="auto" w:fill="FFFFFF"/>
              <w:spacing w:after="0" w:line="240" w:lineRule="auto"/>
              <w:ind w:firstLine="460"/>
              <w:jc w:val="both"/>
              <w:rPr>
                <w:rFonts w:ascii="Times New Roman" w:eastAsia="Times New Roman" w:hAnsi="Times New Roman" w:cs="Times New Roman"/>
                <w:b/>
                <w:sz w:val="26"/>
                <w:szCs w:val="26"/>
              </w:rPr>
            </w:pPr>
            <w:bookmarkStart w:id="3" w:name="bookmark=id.17dp8vu" w:colFirst="0" w:colLast="0"/>
            <w:bookmarkEnd w:id="3"/>
          </w:p>
        </w:tc>
        <w:tc>
          <w:tcPr>
            <w:tcW w:w="7770" w:type="dxa"/>
            <w:tcBorders>
              <w:top w:val="single" w:sz="4" w:space="0" w:color="000000"/>
              <w:bottom w:val="single" w:sz="4" w:space="0" w:color="000000"/>
            </w:tcBorders>
            <w:tcMar>
              <w:top w:w="0" w:type="dxa"/>
              <w:bottom w:w="0" w:type="dxa"/>
            </w:tcMar>
          </w:tcPr>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Стаття 130</w:t>
            </w:r>
            <w:r>
              <w:rPr>
                <w:rFonts w:ascii="Times New Roman" w:eastAsia="Times New Roman" w:hAnsi="Times New Roman" w:cs="Times New Roman"/>
                <w:sz w:val="26"/>
                <w:szCs w:val="26"/>
                <w:vertAlign w:val="superscript"/>
              </w:rPr>
              <w:t>-1</w:t>
            </w:r>
            <w:r>
              <w:rPr>
                <w:rFonts w:ascii="Times New Roman" w:eastAsia="Times New Roman" w:hAnsi="Times New Roman" w:cs="Times New Roman"/>
                <w:sz w:val="26"/>
                <w:szCs w:val="26"/>
              </w:rPr>
              <w:t>. Виплата винагороди викривачу</w:t>
            </w:r>
          </w:p>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w:t>
            </w:r>
          </w:p>
          <w:p w:rsidR="00BE5BCA" w:rsidRDefault="00AF2EF1">
            <w:pPr>
              <w:pBdr>
                <w:top w:val="nil"/>
                <w:left w:val="nil"/>
                <w:bottom w:val="nil"/>
                <w:right w:val="nil"/>
                <w:between w:val="nil"/>
              </w:pBdr>
              <w:shd w:val="clear" w:color="auto" w:fill="FFFFFF"/>
              <w:spacing w:after="0" w:line="240" w:lineRule="auto"/>
              <w:ind w:firstLine="450"/>
              <w:jc w:val="both"/>
              <w:rPr>
                <w:rFonts w:ascii="Times New Roman" w:eastAsia="Times New Roman" w:hAnsi="Times New Roman" w:cs="Times New Roman"/>
                <w:b/>
                <w:sz w:val="26"/>
                <w:szCs w:val="26"/>
              </w:rPr>
            </w:pPr>
            <w:bookmarkStart w:id="4" w:name="_heading=h.gjdgxs" w:colFirst="0" w:colLast="0"/>
            <w:bookmarkEnd w:id="4"/>
            <w:r>
              <w:rPr>
                <w:rFonts w:ascii="Times New Roman" w:eastAsia="Times New Roman" w:hAnsi="Times New Roman" w:cs="Times New Roman"/>
                <w:b/>
                <w:sz w:val="26"/>
                <w:szCs w:val="26"/>
              </w:rPr>
              <w:t>4. Винагорода виплачується викривачу за рахунок коштів державного бюджету, передбачених для цих цілей Національному агентству з питань запобігання корупції, відповідно до Закону України “Про запобігання корупції”.</w:t>
            </w:r>
          </w:p>
        </w:tc>
      </w:tr>
      <w:tr w:rsidR="00BE5BCA">
        <w:trPr>
          <w:trHeight w:val="7900"/>
        </w:trPr>
        <w:tc>
          <w:tcPr>
            <w:tcW w:w="7740" w:type="dxa"/>
            <w:tcBorders>
              <w:top w:val="single" w:sz="4" w:space="0" w:color="000000"/>
            </w:tcBorders>
            <w:tcMar>
              <w:top w:w="0" w:type="dxa"/>
              <w:bottom w:w="0" w:type="dxa"/>
            </w:tcMar>
          </w:tcPr>
          <w:p w:rsidR="00BE5BCA" w:rsidRDefault="00AF2EF1">
            <w:pPr>
              <w:shd w:val="clear" w:color="auto" w:fill="FFFFFF"/>
              <w:spacing w:after="0" w:line="240" w:lineRule="auto"/>
              <w:ind w:firstLine="46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t>Стаття 293. Надання копії обвинувального акта, клопотання про застосування примусових заходів медичного або виховного характеру та реєстру матеріалів досудового розслідування</w:t>
            </w:r>
          </w:p>
          <w:p w:rsidR="00BE5BCA" w:rsidRDefault="00AF2EF1">
            <w:pPr>
              <w:shd w:val="clear" w:color="auto" w:fill="FFFFFF"/>
              <w:spacing w:after="0" w:line="240" w:lineRule="auto"/>
              <w:ind w:firstLine="46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w:t>
            </w:r>
          </w:p>
          <w:p w:rsidR="00BE5BCA" w:rsidRDefault="00AF2EF1">
            <w:pPr>
              <w:shd w:val="clear" w:color="auto" w:fill="FFFFFF"/>
              <w:spacing w:before="240" w:after="0" w:line="276" w:lineRule="auto"/>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Норма відсутня</w:t>
            </w:r>
          </w:p>
          <w:p w:rsidR="00BE5BCA" w:rsidRDefault="00BE5BCA">
            <w:pPr>
              <w:spacing w:after="0" w:line="240" w:lineRule="auto"/>
              <w:rPr>
                <w:rFonts w:ascii="Times New Roman" w:eastAsia="Times New Roman" w:hAnsi="Times New Roman" w:cs="Times New Roman"/>
                <w:b/>
                <w:sz w:val="26"/>
                <w:szCs w:val="26"/>
              </w:rPr>
            </w:pPr>
          </w:p>
        </w:tc>
        <w:tc>
          <w:tcPr>
            <w:tcW w:w="7770" w:type="dxa"/>
            <w:tcBorders>
              <w:top w:val="single" w:sz="4" w:space="0" w:color="000000"/>
            </w:tcBorders>
            <w:tcMar>
              <w:top w:w="0" w:type="dxa"/>
              <w:bottom w:w="0" w:type="dxa"/>
            </w:tcMar>
          </w:tcPr>
          <w:p w:rsidR="00BE5BCA" w:rsidRDefault="00AF2EF1">
            <w:pPr>
              <w:shd w:val="clear" w:color="auto" w:fill="FFFFFF"/>
              <w:spacing w:after="0" w:line="240" w:lineRule="auto"/>
              <w:ind w:firstLine="46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Стаття 293. Надання копії обвинувального акта, клопотання про застосування примусових заходів медичного або виховного характеру та реєстру матеріалів досудового розслідування</w:t>
            </w:r>
          </w:p>
          <w:p w:rsidR="00BE5BCA" w:rsidRDefault="00AF2EF1">
            <w:pPr>
              <w:shd w:val="clear" w:color="auto" w:fill="FFFFFF"/>
              <w:spacing w:after="0" w:line="240" w:lineRule="auto"/>
              <w:ind w:firstLine="46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w:t>
            </w:r>
          </w:p>
          <w:p w:rsidR="00BE5BCA" w:rsidRDefault="00AF2EF1">
            <w:pPr>
              <w:shd w:val="clear" w:color="auto" w:fill="FFFFFF"/>
              <w:spacing w:line="240" w:lineRule="auto"/>
              <w:ind w:firstLine="460"/>
              <w:jc w:val="both"/>
              <w:rPr>
                <w:rFonts w:ascii="Times New Roman" w:eastAsia="Times New Roman" w:hAnsi="Times New Roman" w:cs="Times New Roman"/>
                <w:b/>
                <w:sz w:val="26"/>
                <w:szCs w:val="26"/>
              </w:rPr>
            </w:pPr>
            <w:bookmarkStart w:id="5" w:name="_heading=h.30j0zll" w:colFirst="0" w:colLast="0"/>
            <w:bookmarkEnd w:id="5"/>
            <w:r>
              <w:rPr>
                <w:rFonts w:ascii="Times New Roman" w:eastAsia="Times New Roman" w:hAnsi="Times New Roman" w:cs="Times New Roman"/>
                <w:b/>
                <w:sz w:val="26"/>
                <w:szCs w:val="26"/>
              </w:rPr>
              <w:t xml:space="preserve">2. Протягом 5 днів з моменту передачі обвинувального акта до суду прокурор зобов’язаний у письмовій формі повідомити Національне агентство з питань запобігання корупції про передання обвинувального акта у кримінальному провадженні за участю викривача до суду, </w:t>
            </w:r>
            <w:r w:rsidR="0069152F">
              <w:rPr>
                <w:rFonts w:ascii="Times New Roman" w:eastAsia="Times New Roman" w:hAnsi="Times New Roman" w:cs="Times New Roman"/>
                <w:b/>
                <w:sz w:val="26"/>
                <w:szCs w:val="26"/>
              </w:rPr>
              <w:t>і</w:t>
            </w:r>
            <w:r>
              <w:rPr>
                <w:rFonts w:ascii="Times New Roman" w:eastAsia="Times New Roman" w:hAnsi="Times New Roman" w:cs="Times New Roman"/>
                <w:b/>
                <w:sz w:val="26"/>
                <w:szCs w:val="26"/>
              </w:rPr>
              <w:t>з зазначенням відомостей</w:t>
            </w:r>
            <w:r w:rsidR="0069152F">
              <w:rPr>
                <w:rFonts w:ascii="Times New Roman" w:eastAsia="Times New Roman" w:hAnsi="Times New Roman" w:cs="Times New Roman"/>
                <w:b/>
                <w:sz w:val="26"/>
                <w:szCs w:val="26"/>
              </w:rPr>
              <w:t>,</w:t>
            </w:r>
            <w:r>
              <w:rPr>
                <w:rFonts w:ascii="Times New Roman" w:eastAsia="Times New Roman" w:hAnsi="Times New Roman" w:cs="Times New Roman"/>
                <w:b/>
                <w:sz w:val="26"/>
                <w:szCs w:val="26"/>
              </w:rPr>
              <w:t xml:space="preserve"> передбачених пунктами 3</w:t>
            </w:r>
            <w:r>
              <w:rPr>
                <w:rFonts w:ascii="Times New Roman" w:eastAsia="Times New Roman" w:hAnsi="Times New Roman" w:cs="Times New Roman"/>
                <w:b/>
                <w:sz w:val="26"/>
                <w:szCs w:val="26"/>
                <w:vertAlign w:val="superscript"/>
              </w:rPr>
              <w:t>1</w:t>
            </w:r>
            <w:r>
              <w:rPr>
                <w:rFonts w:ascii="Times New Roman" w:eastAsia="Times New Roman" w:hAnsi="Times New Roman" w:cs="Times New Roman"/>
                <w:b/>
                <w:sz w:val="26"/>
                <w:szCs w:val="26"/>
              </w:rPr>
              <w:t xml:space="preserve"> та 8</w:t>
            </w:r>
            <w:r>
              <w:rPr>
                <w:rFonts w:ascii="Times New Roman" w:eastAsia="Times New Roman" w:hAnsi="Times New Roman" w:cs="Times New Roman"/>
                <w:b/>
                <w:sz w:val="26"/>
                <w:szCs w:val="26"/>
                <w:vertAlign w:val="superscript"/>
              </w:rPr>
              <w:t>1</w:t>
            </w:r>
            <w:r>
              <w:rPr>
                <w:rFonts w:ascii="Times New Roman" w:eastAsia="Times New Roman" w:hAnsi="Times New Roman" w:cs="Times New Roman"/>
                <w:b/>
                <w:sz w:val="26"/>
                <w:szCs w:val="26"/>
              </w:rPr>
              <w:t xml:space="preserve"> частини другої статті 291 цього Кодексу.</w:t>
            </w:r>
          </w:p>
        </w:tc>
      </w:tr>
      <w:tr w:rsidR="00BE5BCA">
        <w:trPr>
          <w:trHeight w:val="24151"/>
        </w:trPr>
        <w:tc>
          <w:tcPr>
            <w:tcW w:w="7740" w:type="dxa"/>
            <w:tcBorders>
              <w:top w:val="single" w:sz="4" w:space="0" w:color="000000"/>
            </w:tcBorders>
            <w:tcMar>
              <w:top w:w="0" w:type="dxa"/>
              <w:bottom w:w="0" w:type="dxa"/>
            </w:tcMar>
          </w:tcPr>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t>Стаття 535. Звернення судового рішення до виконання</w:t>
            </w:r>
          </w:p>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w:t>
            </w:r>
          </w:p>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2. Суд разом із своїм розпорядженням про виконання судового рішення надсилає його копію відповідному органу чи установі, на які покладено обов’язок виконати судове рішення.</w:t>
            </w:r>
          </w:p>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Підставою для виконання суб’єктом державної реєстрації юридичних осіб, фізичних осіб - підприємців та громадських формувань судового рішення, що набрало законної сили, є його примірник в електронній формі, надісланий суб’єкту державної реєстрації юридичних осіб, фізичних осіб - підприємців та громадських формувань у порядку інформаційної взаємодії між Єдиним державним реєстром судових рішень та Єдиним державним реєстром юридичних осіб, фізичних осіб - підприємців та громадських формувань, затвердженому Міністерством юстиції України спільно з Державною судовою адміністрацією України.</w:t>
            </w:r>
          </w:p>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У разі якщо судове рішення або його частина підлягає виконанню органами державного казначейства, таке виконання здійснюється за процедурою безспірного списання.</w:t>
            </w:r>
          </w:p>
          <w:p w:rsidR="00BE5BCA" w:rsidRDefault="00BE5BCA">
            <w:pPr>
              <w:shd w:val="clear" w:color="auto" w:fill="FFFFFF"/>
              <w:spacing w:after="0" w:line="240" w:lineRule="auto"/>
              <w:ind w:firstLine="450"/>
              <w:jc w:val="both"/>
              <w:rPr>
                <w:rFonts w:ascii="Times New Roman" w:eastAsia="Times New Roman" w:hAnsi="Times New Roman" w:cs="Times New Roman"/>
                <w:b/>
                <w:i/>
                <w:sz w:val="26"/>
                <w:szCs w:val="26"/>
                <w:u w:val="single"/>
              </w:rPr>
            </w:pPr>
          </w:p>
          <w:p w:rsidR="00BE5BCA" w:rsidRDefault="00BE5BCA">
            <w:pPr>
              <w:shd w:val="clear" w:color="auto" w:fill="FFFFFF"/>
              <w:ind w:firstLine="450"/>
              <w:jc w:val="both"/>
              <w:rPr>
                <w:rFonts w:ascii="Times New Roman" w:eastAsia="Times New Roman" w:hAnsi="Times New Roman" w:cs="Times New Roman"/>
                <w:b/>
                <w:sz w:val="26"/>
                <w:szCs w:val="26"/>
              </w:rPr>
            </w:pPr>
          </w:p>
          <w:p w:rsidR="00BE5BCA" w:rsidRDefault="00AF2EF1">
            <w:pPr>
              <w:shd w:val="clear" w:color="auto" w:fill="FFFFFF"/>
              <w:ind w:firstLine="450"/>
              <w:jc w:val="both"/>
              <w:rPr>
                <w:rFonts w:ascii="Times New Roman" w:eastAsia="Times New Roman" w:hAnsi="Times New Roman" w:cs="Times New Roman"/>
                <w:b/>
                <w:sz w:val="26"/>
                <w:szCs w:val="26"/>
              </w:rPr>
            </w:pPr>
            <w:r>
              <w:rPr>
                <w:rFonts w:ascii="Times New Roman" w:eastAsia="Times New Roman" w:hAnsi="Times New Roman" w:cs="Times New Roman"/>
                <w:b/>
                <w:sz w:val="26"/>
                <w:szCs w:val="26"/>
              </w:rPr>
              <w:t>абзац відсутній</w:t>
            </w:r>
          </w:p>
          <w:p w:rsidR="00BE5BCA" w:rsidRDefault="00BE5BCA">
            <w:pPr>
              <w:shd w:val="clear" w:color="auto" w:fill="FFFFFF"/>
              <w:ind w:firstLine="450"/>
              <w:jc w:val="both"/>
              <w:rPr>
                <w:rFonts w:ascii="Times New Roman" w:eastAsia="Times New Roman" w:hAnsi="Times New Roman" w:cs="Times New Roman"/>
                <w:b/>
                <w:sz w:val="26"/>
                <w:szCs w:val="26"/>
              </w:rPr>
            </w:pPr>
          </w:p>
          <w:p w:rsidR="00BE5BCA" w:rsidRDefault="00BE5BCA">
            <w:pPr>
              <w:shd w:val="clear" w:color="auto" w:fill="FFFFFF"/>
              <w:ind w:firstLine="450"/>
              <w:jc w:val="both"/>
              <w:rPr>
                <w:rFonts w:ascii="Times New Roman" w:eastAsia="Times New Roman" w:hAnsi="Times New Roman" w:cs="Times New Roman"/>
                <w:b/>
                <w:sz w:val="26"/>
                <w:szCs w:val="26"/>
              </w:rPr>
            </w:pPr>
          </w:p>
          <w:p w:rsidR="00BE5BCA" w:rsidRDefault="00BE5BCA">
            <w:pPr>
              <w:shd w:val="clear" w:color="auto" w:fill="FFFFFF"/>
              <w:ind w:firstLine="450"/>
              <w:jc w:val="both"/>
              <w:rPr>
                <w:rFonts w:ascii="Times New Roman" w:eastAsia="Times New Roman" w:hAnsi="Times New Roman" w:cs="Times New Roman"/>
                <w:b/>
                <w:sz w:val="26"/>
                <w:szCs w:val="26"/>
              </w:rPr>
            </w:pPr>
          </w:p>
          <w:p w:rsidR="00BE5BCA" w:rsidRDefault="00AF2EF1">
            <w:pPr>
              <w:shd w:val="clear" w:color="auto" w:fill="FFFFFF"/>
              <w:ind w:firstLine="450"/>
              <w:jc w:val="both"/>
              <w:rPr>
                <w:rFonts w:ascii="Times New Roman" w:eastAsia="Times New Roman" w:hAnsi="Times New Roman" w:cs="Times New Roman"/>
                <w:b/>
                <w:sz w:val="26"/>
                <w:szCs w:val="26"/>
              </w:rPr>
            </w:pPr>
            <w:r>
              <w:rPr>
                <w:rFonts w:ascii="Times New Roman" w:eastAsia="Times New Roman" w:hAnsi="Times New Roman" w:cs="Times New Roman"/>
                <w:b/>
                <w:sz w:val="26"/>
                <w:szCs w:val="26"/>
              </w:rPr>
              <w:t>абзац відсутній</w:t>
            </w:r>
          </w:p>
          <w:p w:rsidR="00BE5BCA" w:rsidRDefault="00BE5BCA">
            <w:pPr>
              <w:shd w:val="clear" w:color="auto" w:fill="FFFFFF"/>
              <w:ind w:firstLine="450"/>
              <w:jc w:val="both"/>
              <w:rPr>
                <w:rFonts w:ascii="Times New Roman" w:eastAsia="Times New Roman" w:hAnsi="Times New Roman" w:cs="Times New Roman"/>
                <w:b/>
                <w:sz w:val="26"/>
                <w:szCs w:val="26"/>
              </w:rPr>
            </w:pPr>
          </w:p>
          <w:p w:rsidR="00BE5BCA" w:rsidRDefault="00BE5BCA">
            <w:pPr>
              <w:spacing w:after="0" w:line="240" w:lineRule="auto"/>
              <w:rPr>
                <w:rFonts w:ascii="Times New Roman" w:eastAsia="Times New Roman" w:hAnsi="Times New Roman" w:cs="Times New Roman"/>
                <w:sz w:val="26"/>
                <w:szCs w:val="26"/>
              </w:rPr>
            </w:pPr>
          </w:p>
        </w:tc>
        <w:tc>
          <w:tcPr>
            <w:tcW w:w="7770" w:type="dxa"/>
            <w:tcBorders>
              <w:top w:val="single" w:sz="4" w:space="0" w:color="000000"/>
            </w:tcBorders>
            <w:tcMar>
              <w:top w:w="0" w:type="dxa"/>
              <w:bottom w:w="0" w:type="dxa"/>
            </w:tcMar>
          </w:tcPr>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Стаття 535. Звернення судового рішення до виконання</w:t>
            </w:r>
          </w:p>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w:t>
            </w:r>
          </w:p>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2. Суд разом із своїм розпорядженням про виконання судового рішення надсилає його копію відповідному органу чи установі, на які покладено обов’язок виконати судове рішення.</w:t>
            </w:r>
          </w:p>
          <w:p w:rsidR="00BE5BCA" w:rsidRDefault="00AF2EF1">
            <w:pPr>
              <w:shd w:val="clear" w:color="auto" w:fill="FFFFFF"/>
              <w:spacing w:after="0" w:line="240" w:lineRule="auto"/>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Підставою для виконання суб’єктом державної реєстрації юридичних осіб, фізичних осіб - підприємців та громадських формувань судового рішення, що набрало законної сили, є його примірник в електронній формі, надісланий суб’єкту державної реєстрації юридичних осіб, фізичних осіб - підприємців та громадських формувань у порядку інформаційної взаємодії між Єдиним державним реєстром судових рішень та Єдиним державним реєстром юридичних осіб, фізичних осіб - підприємців та громадських формувань, затвердженому Міністерством юстиції України спільно з Державною судовою адміністрацією України.</w:t>
            </w:r>
          </w:p>
          <w:p w:rsidR="00BE5BCA" w:rsidRDefault="00AF2EF1">
            <w:pPr>
              <w:shd w:val="clear" w:color="auto" w:fill="FFFFFF"/>
              <w:spacing w:after="0" w:line="240" w:lineRule="auto"/>
              <w:ind w:firstLine="450"/>
              <w:jc w:val="both"/>
              <w:rPr>
                <w:rFonts w:ascii="Times New Roman" w:eastAsia="Times New Roman" w:hAnsi="Times New Roman" w:cs="Times New Roman"/>
                <w:b/>
                <w:sz w:val="26"/>
                <w:szCs w:val="26"/>
              </w:rPr>
            </w:pPr>
            <w:bookmarkStart w:id="6" w:name="_heading=h.1fob9te" w:colFirst="0" w:colLast="0"/>
            <w:bookmarkEnd w:id="6"/>
            <w:r>
              <w:rPr>
                <w:rFonts w:ascii="Times New Roman" w:eastAsia="Times New Roman" w:hAnsi="Times New Roman" w:cs="Times New Roman"/>
                <w:sz w:val="26"/>
                <w:szCs w:val="26"/>
              </w:rPr>
              <w:t xml:space="preserve">У разі якщо судове рішення або його частина підлягає виконанню органами державного казначейства, таке виконання здійснюється за процедурою безспірного списання </w:t>
            </w:r>
            <w:r>
              <w:rPr>
                <w:rFonts w:ascii="Times New Roman" w:eastAsia="Times New Roman" w:hAnsi="Times New Roman" w:cs="Times New Roman"/>
                <w:b/>
                <w:sz w:val="26"/>
                <w:szCs w:val="26"/>
              </w:rPr>
              <w:t>(крім судових рішень про виплату винагороди викривачу).</w:t>
            </w:r>
          </w:p>
          <w:p w:rsidR="00BE5BCA" w:rsidRDefault="00BE5BCA">
            <w:pPr>
              <w:shd w:val="clear" w:color="auto" w:fill="FFFFFF"/>
              <w:spacing w:after="0" w:line="240" w:lineRule="auto"/>
              <w:ind w:firstLine="450"/>
              <w:jc w:val="both"/>
              <w:rPr>
                <w:rFonts w:ascii="Times New Roman" w:eastAsia="Times New Roman" w:hAnsi="Times New Roman" w:cs="Times New Roman"/>
                <w:b/>
                <w:sz w:val="26"/>
                <w:szCs w:val="26"/>
                <w:highlight w:val="white"/>
              </w:rPr>
            </w:pPr>
          </w:p>
          <w:p w:rsidR="00BE5BCA" w:rsidRDefault="00AF2EF1">
            <w:pPr>
              <w:ind w:firstLine="567"/>
              <w:jc w:val="both"/>
              <w:rPr>
                <w:rFonts w:ascii="Times New Roman" w:eastAsia="Times New Roman" w:hAnsi="Times New Roman" w:cs="Times New Roman"/>
                <w:b/>
                <w:sz w:val="26"/>
                <w:szCs w:val="26"/>
              </w:rPr>
            </w:pPr>
            <w:r>
              <w:rPr>
                <w:rFonts w:ascii="Times New Roman" w:eastAsia="Times New Roman" w:hAnsi="Times New Roman" w:cs="Times New Roman"/>
                <w:b/>
                <w:sz w:val="26"/>
                <w:szCs w:val="26"/>
              </w:rPr>
              <w:t>Копія судового рішення про виплату винагороди викривачу, що набрало законної сили, надсилається до Національного агентства з питань запобігання корупції не пізніше 5 робочих днів з дня набрання таким рішенням законної сили.</w:t>
            </w:r>
          </w:p>
          <w:p w:rsidR="00BE5BCA" w:rsidRDefault="00AF2EF1">
            <w:pPr>
              <w:ind w:firstLine="567"/>
              <w:jc w:val="both"/>
              <w:rPr>
                <w:rFonts w:ascii="Times New Roman" w:eastAsia="Times New Roman" w:hAnsi="Times New Roman" w:cs="Times New Roman"/>
                <w:b/>
                <w:sz w:val="26"/>
                <w:szCs w:val="26"/>
              </w:rPr>
            </w:pPr>
            <w:r>
              <w:rPr>
                <w:rFonts w:ascii="Times New Roman" w:eastAsia="Times New Roman" w:hAnsi="Times New Roman" w:cs="Times New Roman"/>
                <w:b/>
                <w:sz w:val="26"/>
                <w:szCs w:val="26"/>
              </w:rPr>
              <w:t>Судове рішення про виплату винагороди викривачу, що набрало законної сили, підлягає виконанню органами державного казначейства відповідно до Закону України “Про запобігання корупції”</w:t>
            </w:r>
            <w:r w:rsidR="0069152F">
              <w:rPr>
                <w:rFonts w:ascii="Times New Roman" w:eastAsia="Times New Roman" w:hAnsi="Times New Roman" w:cs="Times New Roman"/>
                <w:b/>
                <w:sz w:val="26"/>
                <w:szCs w:val="26"/>
              </w:rPr>
              <w:t>.</w:t>
            </w:r>
          </w:p>
          <w:p w:rsidR="00BE5BCA" w:rsidRDefault="00BE5BCA">
            <w:pPr>
              <w:spacing w:after="0" w:line="240" w:lineRule="auto"/>
              <w:rPr>
                <w:rFonts w:ascii="Times New Roman" w:eastAsia="Times New Roman" w:hAnsi="Times New Roman" w:cs="Times New Roman"/>
                <w:sz w:val="26"/>
                <w:szCs w:val="26"/>
              </w:rPr>
            </w:pPr>
          </w:p>
        </w:tc>
      </w:tr>
    </w:tbl>
    <w:p w:rsidR="00BE5BCA" w:rsidRDefault="00BE5BCA">
      <w:pPr>
        <w:widowControl w:val="0"/>
        <w:pBdr>
          <w:top w:val="nil"/>
          <w:left w:val="nil"/>
          <w:bottom w:val="nil"/>
          <w:right w:val="nil"/>
          <w:between w:val="nil"/>
        </w:pBdr>
        <w:spacing w:after="0" w:line="276" w:lineRule="auto"/>
        <w:rPr>
          <w:rFonts w:ascii="Times New Roman" w:eastAsia="Times New Roman" w:hAnsi="Times New Roman" w:cs="Times New Roman"/>
          <w:sz w:val="26"/>
          <w:szCs w:val="26"/>
        </w:rPr>
      </w:pPr>
    </w:p>
    <w:tbl>
      <w:tblPr>
        <w:tblStyle w:val="af3"/>
        <w:tblW w:w="14878"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371"/>
        <w:gridCol w:w="7507"/>
      </w:tblGrid>
      <w:tr w:rsidR="00BE5BCA">
        <w:trPr>
          <w:trHeight w:val="403"/>
        </w:trPr>
        <w:tc>
          <w:tcPr>
            <w:tcW w:w="14878" w:type="dxa"/>
            <w:gridSpan w:val="2"/>
            <w:tcMar>
              <w:top w:w="0" w:type="dxa"/>
              <w:bottom w:w="0" w:type="dxa"/>
            </w:tcMar>
          </w:tcPr>
          <w:p w:rsidR="00BE5BCA" w:rsidRDefault="00AF2EF1">
            <w:pPr>
              <w:jc w:val="center"/>
              <w:rPr>
                <w:sz w:val="26"/>
                <w:szCs w:val="26"/>
              </w:rPr>
            </w:pPr>
            <w:r>
              <w:rPr>
                <w:rFonts w:ascii="Times New Roman" w:eastAsia="Times New Roman" w:hAnsi="Times New Roman" w:cs="Times New Roman"/>
                <w:b/>
                <w:sz w:val="26"/>
                <w:szCs w:val="26"/>
              </w:rPr>
              <w:t>Закон України «Про запобігання корупції»</w:t>
            </w:r>
          </w:p>
        </w:tc>
      </w:tr>
      <w:tr w:rsidR="00BE5BCA">
        <w:trPr>
          <w:trHeight w:val="4995"/>
        </w:trPr>
        <w:tc>
          <w:tcPr>
            <w:tcW w:w="7371" w:type="dxa"/>
            <w:tcMar>
              <w:top w:w="0" w:type="dxa"/>
              <w:bottom w:w="0" w:type="dxa"/>
            </w:tcMar>
          </w:tcPr>
          <w:p w:rsidR="00BE5BCA" w:rsidRDefault="00AF2EF1">
            <w:pPr>
              <w:shd w:val="clear" w:color="auto" w:fill="FFFFFF"/>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Стаття 53</w:t>
            </w:r>
            <w:r>
              <w:rPr>
                <w:rFonts w:ascii="Times New Roman" w:eastAsia="Times New Roman" w:hAnsi="Times New Roman" w:cs="Times New Roman"/>
                <w:sz w:val="26"/>
                <w:szCs w:val="26"/>
                <w:vertAlign w:val="superscript"/>
              </w:rPr>
              <w:t>-7</w:t>
            </w:r>
            <w:r>
              <w:rPr>
                <w:rFonts w:ascii="Times New Roman" w:eastAsia="Times New Roman" w:hAnsi="Times New Roman" w:cs="Times New Roman"/>
                <w:sz w:val="26"/>
                <w:szCs w:val="26"/>
              </w:rPr>
              <w:t>. Винагорода викривачу</w:t>
            </w:r>
          </w:p>
          <w:p w:rsidR="00BE5BCA" w:rsidRDefault="00AF2EF1">
            <w:pPr>
              <w:shd w:val="clear" w:color="auto" w:fill="FFFFFF"/>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w:t>
            </w:r>
          </w:p>
          <w:p w:rsidR="00BE5BCA" w:rsidRDefault="00AF2EF1">
            <w:pPr>
              <w:shd w:val="clear" w:color="auto" w:fill="FFFFFF"/>
              <w:ind w:firstLine="450"/>
              <w:jc w:val="both"/>
              <w:rPr>
                <w:rFonts w:ascii="Times New Roman" w:eastAsia="Times New Roman" w:hAnsi="Times New Roman" w:cs="Times New Roman"/>
                <w:sz w:val="26"/>
                <w:szCs w:val="26"/>
              </w:rPr>
            </w:pPr>
            <w:bookmarkStart w:id="7" w:name="bookmark=id.26in1rg" w:colFirst="0" w:colLast="0"/>
            <w:bookmarkStart w:id="8" w:name="bookmark=id.lnxbz9" w:colFirst="0" w:colLast="0"/>
            <w:bookmarkEnd w:id="7"/>
            <w:bookmarkEnd w:id="8"/>
            <w:r>
              <w:rPr>
                <w:rFonts w:ascii="Times New Roman" w:eastAsia="Times New Roman" w:hAnsi="Times New Roman" w:cs="Times New Roman"/>
                <w:sz w:val="26"/>
                <w:szCs w:val="26"/>
              </w:rPr>
              <w:t>2. Розмір винагороди становить 10 відсотків від грошового розміру предмета корупційного злочину або розміру завданих державі збитків від злочину після ухвалення обвинувального вироку суду. Розмір винагороди не може перевищувати трьох тисяч мінімальних заробітних плат, установлених на час вчинення злочину.</w:t>
            </w:r>
          </w:p>
          <w:p w:rsidR="00BE5BCA" w:rsidRDefault="00BE5BCA">
            <w:pPr>
              <w:shd w:val="clear" w:color="auto" w:fill="FFFFFF"/>
              <w:ind w:firstLine="450"/>
              <w:jc w:val="both"/>
              <w:rPr>
                <w:rFonts w:ascii="Times New Roman" w:eastAsia="Times New Roman" w:hAnsi="Times New Roman" w:cs="Times New Roman"/>
                <w:b/>
                <w:sz w:val="26"/>
                <w:szCs w:val="26"/>
              </w:rPr>
            </w:pPr>
          </w:p>
          <w:p w:rsidR="00BE5BCA" w:rsidRDefault="00AF2EF1">
            <w:pPr>
              <w:shd w:val="clear" w:color="auto" w:fill="FFFFFF"/>
              <w:ind w:firstLine="450"/>
              <w:jc w:val="both"/>
              <w:rPr>
                <w:rFonts w:ascii="Times New Roman" w:eastAsia="Times New Roman" w:hAnsi="Times New Roman" w:cs="Times New Roman"/>
                <w:b/>
                <w:sz w:val="26"/>
                <w:szCs w:val="26"/>
              </w:rPr>
            </w:pPr>
            <w:r>
              <w:rPr>
                <w:rFonts w:ascii="Times New Roman" w:eastAsia="Times New Roman" w:hAnsi="Times New Roman" w:cs="Times New Roman"/>
                <w:b/>
                <w:sz w:val="26"/>
                <w:szCs w:val="26"/>
              </w:rPr>
              <w:t>абзац відсутній</w:t>
            </w:r>
          </w:p>
          <w:p w:rsidR="00BE5BCA" w:rsidRDefault="00BE5BCA">
            <w:pPr>
              <w:shd w:val="clear" w:color="auto" w:fill="FFFFFF"/>
              <w:ind w:firstLine="450"/>
              <w:jc w:val="both"/>
              <w:rPr>
                <w:rFonts w:ascii="Times New Roman" w:eastAsia="Times New Roman" w:hAnsi="Times New Roman" w:cs="Times New Roman"/>
                <w:b/>
                <w:sz w:val="26"/>
                <w:szCs w:val="26"/>
              </w:rPr>
            </w:pPr>
          </w:p>
          <w:p w:rsidR="00BE5BCA" w:rsidRDefault="00BE5BCA">
            <w:pPr>
              <w:shd w:val="clear" w:color="auto" w:fill="FFFFFF"/>
              <w:ind w:firstLine="450"/>
              <w:jc w:val="both"/>
              <w:rPr>
                <w:rFonts w:ascii="Times New Roman" w:eastAsia="Times New Roman" w:hAnsi="Times New Roman" w:cs="Times New Roman"/>
                <w:b/>
                <w:sz w:val="26"/>
                <w:szCs w:val="26"/>
              </w:rPr>
            </w:pPr>
          </w:p>
          <w:p w:rsidR="00BE5BCA" w:rsidRDefault="00BE5BCA">
            <w:pPr>
              <w:shd w:val="clear" w:color="auto" w:fill="FFFFFF"/>
              <w:ind w:firstLine="450"/>
              <w:jc w:val="both"/>
              <w:rPr>
                <w:rFonts w:ascii="Times New Roman" w:eastAsia="Times New Roman" w:hAnsi="Times New Roman" w:cs="Times New Roman"/>
                <w:b/>
                <w:sz w:val="26"/>
                <w:szCs w:val="26"/>
              </w:rPr>
            </w:pPr>
          </w:p>
          <w:p w:rsidR="00BE5BCA" w:rsidRDefault="00BE5BCA">
            <w:pPr>
              <w:shd w:val="clear" w:color="auto" w:fill="FFFFFF"/>
              <w:ind w:firstLine="450"/>
              <w:jc w:val="both"/>
              <w:rPr>
                <w:rFonts w:ascii="Times New Roman" w:eastAsia="Times New Roman" w:hAnsi="Times New Roman" w:cs="Times New Roman"/>
                <w:b/>
                <w:sz w:val="26"/>
                <w:szCs w:val="26"/>
              </w:rPr>
            </w:pPr>
          </w:p>
          <w:p w:rsidR="00BE5BCA" w:rsidRDefault="00AF2EF1">
            <w:pPr>
              <w:shd w:val="clear" w:color="auto" w:fill="FFFFFF"/>
              <w:ind w:firstLine="450"/>
              <w:jc w:val="both"/>
              <w:rPr>
                <w:rFonts w:ascii="Times New Roman" w:eastAsia="Times New Roman" w:hAnsi="Times New Roman" w:cs="Times New Roman"/>
                <w:b/>
                <w:sz w:val="26"/>
                <w:szCs w:val="26"/>
              </w:rPr>
            </w:pPr>
            <w:r>
              <w:rPr>
                <w:rFonts w:ascii="Times New Roman" w:eastAsia="Times New Roman" w:hAnsi="Times New Roman" w:cs="Times New Roman"/>
                <w:b/>
                <w:sz w:val="26"/>
                <w:szCs w:val="26"/>
              </w:rPr>
              <w:t>абзац відсутній</w:t>
            </w:r>
          </w:p>
          <w:p w:rsidR="00BE5BCA" w:rsidRDefault="00BE5BCA">
            <w:pPr>
              <w:shd w:val="clear" w:color="auto" w:fill="FFFFFF"/>
              <w:ind w:firstLine="450"/>
              <w:jc w:val="both"/>
              <w:rPr>
                <w:rFonts w:ascii="Times New Roman" w:eastAsia="Times New Roman" w:hAnsi="Times New Roman" w:cs="Times New Roman"/>
                <w:b/>
                <w:sz w:val="26"/>
                <w:szCs w:val="26"/>
              </w:rPr>
            </w:pPr>
          </w:p>
          <w:p w:rsidR="00BE5BCA" w:rsidRDefault="00BE5BCA">
            <w:pPr>
              <w:shd w:val="clear" w:color="auto" w:fill="FFFFFF"/>
              <w:ind w:firstLine="450"/>
              <w:jc w:val="both"/>
              <w:rPr>
                <w:sz w:val="26"/>
                <w:szCs w:val="26"/>
              </w:rPr>
            </w:pPr>
          </w:p>
        </w:tc>
        <w:tc>
          <w:tcPr>
            <w:tcW w:w="7507" w:type="dxa"/>
            <w:tcMar>
              <w:top w:w="0" w:type="dxa"/>
              <w:bottom w:w="0" w:type="dxa"/>
            </w:tcMar>
          </w:tcPr>
          <w:p w:rsidR="00BE5BCA" w:rsidRDefault="00AF2EF1">
            <w:pPr>
              <w:shd w:val="clear" w:color="auto" w:fill="FFFFFF"/>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Стаття 53</w:t>
            </w:r>
            <w:r>
              <w:rPr>
                <w:rFonts w:ascii="Times New Roman" w:eastAsia="Times New Roman" w:hAnsi="Times New Roman" w:cs="Times New Roman"/>
                <w:sz w:val="26"/>
                <w:szCs w:val="26"/>
                <w:vertAlign w:val="superscript"/>
              </w:rPr>
              <w:t>-7</w:t>
            </w:r>
            <w:r>
              <w:rPr>
                <w:rFonts w:ascii="Times New Roman" w:eastAsia="Times New Roman" w:hAnsi="Times New Roman" w:cs="Times New Roman"/>
                <w:sz w:val="26"/>
                <w:szCs w:val="26"/>
              </w:rPr>
              <w:t>. Винагорода викривачу</w:t>
            </w:r>
          </w:p>
          <w:p w:rsidR="00BE5BCA" w:rsidRDefault="00AF2EF1">
            <w:pPr>
              <w:shd w:val="clear" w:color="auto" w:fill="FFFFFF"/>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w:t>
            </w:r>
          </w:p>
          <w:p w:rsidR="00BE5BCA" w:rsidRDefault="00AF2EF1">
            <w:pPr>
              <w:shd w:val="clear" w:color="auto" w:fill="FFFFFF"/>
              <w:ind w:firstLine="45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2. Розмір винагороди становить 10 відсотків від грошового розміру предмета корупційного злочину або розміру завданих державі збитків від злочину після ухвалення обвинувального вироку суду. Розмір винагороди не може перевищувати трьох тисяч мінімальних заробітних плат, установлених на час вчинення злочину.</w:t>
            </w:r>
          </w:p>
          <w:p w:rsidR="00BE5BCA" w:rsidRDefault="00AF2EF1">
            <w:pPr>
              <w:ind w:firstLine="567"/>
              <w:jc w:val="both"/>
              <w:rPr>
                <w:rFonts w:ascii="Times New Roman" w:eastAsia="Times New Roman" w:hAnsi="Times New Roman" w:cs="Times New Roman"/>
                <w:b/>
                <w:sz w:val="26"/>
                <w:szCs w:val="26"/>
              </w:rPr>
            </w:pPr>
            <w:r>
              <w:rPr>
                <w:rFonts w:ascii="Times New Roman" w:eastAsia="Times New Roman" w:hAnsi="Times New Roman" w:cs="Times New Roman"/>
                <w:b/>
                <w:sz w:val="26"/>
                <w:szCs w:val="26"/>
              </w:rPr>
              <w:t xml:space="preserve">Обсяг видатків для виплати винагороди </w:t>
            </w:r>
            <w:r w:rsidRPr="0045193E">
              <w:rPr>
                <w:rFonts w:ascii="Times New Roman" w:eastAsia="Times New Roman" w:hAnsi="Times New Roman" w:cs="Times New Roman"/>
                <w:b/>
                <w:sz w:val="26"/>
                <w:szCs w:val="26"/>
              </w:rPr>
              <w:t>викривачам</w:t>
            </w:r>
            <w:r>
              <w:rPr>
                <w:rFonts w:ascii="Times New Roman" w:eastAsia="Times New Roman" w:hAnsi="Times New Roman" w:cs="Times New Roman"/>
                <w:b/>
                <w:sz w:val="26"/>
                <w:szCs w:val="26"/>
              </w:rPr>
              <w:t xml:space="preserve"> визначається Національним агентством на підставі невиконаних судових рішень про виплату винагороди </w:t>
            </w:r>
            <w:r w:rsidRPr="0045193E">
              <w:rPr>
                <w:rFonts w:ascii="Times New Roman" w:eastAsia="Times New Roman" w:hAnsi="Times New Roman" w:cs="Times New Roman"/>
                <w:b/>
                <w:sz w:val="26"/>
                <w:szCs w:val="26"/>
              </w:rPr>
              <w:t>викривачу</w:t>
            </w:r>
            <w:r>
              <w:rPr>
                <w:rFonts w:ascii="Times New Roman" w:eastAsia="Times New Roman" w:hAnsi="Times New Roman" w:cs="Times New Roman"/>
                <w:b/>
                <w:sz w:val="26"/>
                <w:szCs w:val="26"/>
              </w:rPr>
              <w:t>, які набрали законної сили на час склад</w:t>
            </w:r>
            <w:r w:rsidR="00347A01">
              <w:rPr>
                <w:rFonts w:ascii="Times New Roman" w:eastAsia="Times New Roman" w:hAnsi="Times New Roman" w:cs="Times New Roman"/>
                <w:b/>
                <w:sz w:val="26"/>
                <w:szCs w:val="26"/>
              </w:rPr>
              <w:t>а</w:t>
            </w:r>
            <w:r>
              <w:rPr>
                <w:rFonts w:ascii="Times New Roman" w:eastAsia="Times New Roman" w:hAnsi="Times New Roman" w:cs="Times New Roman"/>
                <w:b/>
                <w:sz w:val="26"/>
                <w:szCs w:val="26"/>
              </w:rPr>
              <w:t>ння Бюджетної декларації</w:t>
            </w:r>
            <w:r w:rsidR="00C06704">
              <w:rPr>
                <w:rFonts w:ascii="Times New Roman" w:eastAsia="Times New Roman" w:hAnsi="Times New Roman" w:cs="Times New Roman"/>
                <w:b/>
                <w:sz w:val="26"/>
                <w:szCs w:val="26"/>
              </w:rPr>
              <w:t>,</w:t>
            </w:r>
            <w:r>
              <w:rPr>
                <w:rFonts w:ascii="Times New Roman" w:eastAsia="Times New Roman" w:hAnsi="Times New Roman" w:cs="Times New Roman"/>
                <w:b/>
                <w:sz w:val="26"/>
                <w:szCs w:val="26"/>
              </w:rPr>
              <w:t xml:space="preserve"> і </w:t>
            </w:r>
            <w:proofErr w:type="spellStart"/>
            <w:r>
              <w:rPr>
                <w:rFonts w:ascii="Times New Roman" w:eastAsia="Times New Roman" w:hAnsi="Times New Roman" w:cs="Times New Roman"/>
                <w:b/>
                <w:sz w:val="26"/>
                <w:szCs w:val="26"/>
              </w:rPr>
              <w:t>уточню</w:t>
            </w:r>
            <w:r w:rsidR="00C47BB0">
              <w:rPr>
                <w:rFonts w:ascii="Times New Roman" w:eastAsia="Times New Roman" w:hAnsi="Times New Roman" w:cs="Times New Roman"/>
                <w:b/>
                <w:sz w:val="26"/>
                <w:szCs w:val="26"/>
              </w:rPr>
              <w:t>є</w:t>
            </w:r>
            <w:r>
              <w:rPr>
                <w:rFonts w:ascii="Times New Roman" w:eastAsia="Times New Roman" w:hAnsi="Times New Roman" w:cs="Times New Roman"/>
                <w:b/>
                <w:sz w:val="26"/>
                <w:szCs w:val="26"/>
              </w:rPr>
              <w:t>ться</w:t>
            </w:r>
            <w:proofErr w:type="spellEnd"/>
            <w:r>
              <w:rPr>
                <w:rFonts w:ascii="Times New Roman" w:eastAsia="Times New Roman" w:hAnsi="Times New Roman" w:cs="Times New Roman"/>
                <w:b/>
                <w:sz w:val="26"/>
                <w:szCs w:val="26"/>
              </w:rPr>
              <w:t>, у разі необхідності, при формуванні бюджетного запиту на відповідний плановий бюджетний період за відповідною бюджетною програмою Національного агентства.</w:t>
            </w:r>
          </w:p>
          <w:p w:rsidR="00BE5BCA" w:rsidRDefault="00AF2EF1">
            <w:pPr>
              <w:spacing w:before="240" w:after="240"/>
              <w:ind w:firstLine="566"/>
              <w:jc w:val="both"/>
              <w:rPr>
                <w:rFonts w:ascii="Times New Roman" w:eastAsia="Times New Roman" w:hAnsi="Times New Roman" w:cs="Times New Roman"/>
                <w:b/>
                <w:sz w:val="26"/>
                <w:szCs w:val="26"/>
              </w:rPr>
            </w:pPr>
            <w:r>
              <w:rPr>
                <w:rFonts w:ascii="Times New Roman" w:eastAsia="Times New Roman" w:hAnsi="Times New Roman" w:cs="Times New Roman"/>
                <w:b/>
                <w:sz w:val="26"/>
                <w:szCs w:val="26"/>
              </w:rPr>
              <w:t>У разі відсутності таких судових рішень на наступний плановий бюджетний період відповідні видатки включаються Національним агентством до Бюджетної декларації та бюджетного запиту на наступний плановий бюджетний період на підставі інформації попередніх періодів з урахуванням розміру винагороди на одного викривача, що не перевищує трьох тисяч мінімальних заробітних плат, установлених на рік, що передує плановому періоду.</w:t>
            </w:r>
          </w:p>
          <w:p w:rsidR="00BE5BCA" w:rsidRDefault="00AF2EF1">
            <w:pPr>
              <w:spacing w:before="240" w:after="240"/>
              <w:ind w:firstLine="566"/>
              <w:jc w:val="both"/>
              <w:rPr>
                <w:rFonts w:ascii="Times New Roman" w:eastAsia="Times New Roman" w:hAnsi="Times New Roman" w:cs="Times New Roman"/>
                <w:b/>
                <w:sz w:val="26"/>
                <w:szCs w:val="26"/>
              </w:rPr>
            </w:pPr>
            <w:r>
              <w:rPr>
                <w:rFonts w:ascii="Times New Roman" w:eastAsia="Times New Roman" w:hAnsi="Times New Roman" w:cs="Times New Roman"/>
                <w:b/>
                <w:sz w:val="26"/>
                <w:szCs w:val="26"/>
              </w:rPr>
              <w:lastRenderedPageBreak/>
              <w:t>Винагорода виплачується викривачу за рахунок бюджетних призначень Національного агентства за відповідною бюджетною програмою, у порядку, встановленому Кабінетом Міністрів України.</w:t>
            </w:r>
          </w:p>
          <w:p w:rsidR="00BE5BCA" w:rsidRDefault="00BE5BCA">
            <w:pPr>
              <w:shd w:val="clear" w:color="auto" w:fill="FFFFFF"/>
              <w:ind w:firstLine="450"/>
              <w:jc w:val="both"/>
              <w:rPr>
                <w:sz w:val="26"/>
                <w:szCs w:val="26"/>
              </w:rPr>
            </w:pPr>
          </w:p>
        </w:tc>
      </w:tr>
    </w:tbl>
    <w:p w:rsidR="00BE5BCA" w:rsidRDefault="00BE5BCA">
      <w:pPr>
        <w:rPr>
          <w:rFonts w:ascii="Times New Roman" w:eastAsia="Times New Roman" w:hAnsi="Times New Roman" w:cs="Times New Roman"/>
          <w:b/>
          <w:sz w:val="28"/>
          <w:szCs w:val="28"/>
        </w:rPr>
      </w:pPr>
    </w:p>
    <w:p w:rsidR="00BE5BCA" w:rsidRDefault="00AF2EF1">
      <w:pPr>
        <w:spacing w:after="0"/>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Голова Національного агентства </w:t>
      </w:r>
    </w:p>
    <w:p w:rsidR="00BE5BCA" w:rsidRDefault="00AF2EF1">
      <w:pPr>
        <w:spacing w:after="0"/>
        <w:rPr>
          <w:rFonts w:ascii="Times New Roman" w:eastAsia="Times New Roman" w:hAnsi="Times New Roman" w:cs="Times New Roman"/>
          <w:b/>
          <w:sz w:val="28"/>
          <w:szCs w:val="28"/>
        </w:rPr>
      </w:pPr>
      <w:r>
        <w:rPr>
          <w:rFonts w:ascii="Times New Roman" w:eastAsia="Times New Roman" w:hAnsi="Times New Roman" w:cs="Times New Roman"/>
          <w:b/>
          <w:sz w:val="28"/>
          <w:szCs w:val="28"/>
        </w:rPr>
        <w:t>з питань запобігання корупції</w:t>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t>Віктор ПАВЛУЩИК</w:t>
      </w:r>
    </w:p>
    <w:p w:rsidR="00BE5BCA" w:rsidRDefault="00BE5BCA">
      <w:pPr>
        <w:rPr>
          <w:rFonts w:ascii="Times New Roman" w:eastAsia="Times New Roman" w:hAnsi="Times New Roman" w:cs="Times New Roman"/>
          <w:b/>
          <w:sz w:val="28"/>
          <w:szCs w:val="28"/>
        </w:rPr>
      </w:pPr>
      <w:bookmarkStart w:id="9" w:name="_heading=h.2et92p0" w:colFirst="0" w:colLast="0"/>
      <w:bookmarkEnd w:id="9"/>
    </w:p>
    <w:sectPr w:rsidR="00BE5BCA" w:rsidSect="00F2099F">
      <w:headerReference w:type="default" r:id="rId8"/>
      <w:pgSz w:w="16838" w:h="11906" w:orient="landscape"/>
      <w:pgMar w:top="851" w:right="850" w:bottom="850" w:left="850"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F7971" w:rsidRDefault="00FF7971">
      <w:pPr>
        <w:spacing w:after="0" w:line="240" w:lineRule="auto"/>
      </w:pPr>
      <w:r>
        <w:separator/>
      </w:r>
    </w:p>
  </w:endnote>
  <w:endnote w:type="continuationSeparator" w:id="0">
    <w:p w:rsidR="00FF7971" w:rsidRDefault="00FF79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F7971" w:rsidRDefault="00FF7971">
      <w:pPr>
        <w:spacing w:after="0" w:line="240" w:lineRule="auto"/>
      </w:pPr>
      <w:r>
        <w:separator/>
      </w:r>
    </w:p>
  </w:footnote>
  <w:footnote w:type="continuationSeparator" w:id="0">
    <w:p w:rsidR="00FF7971" w:rsidRDefault="00FF79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5BCA" w:rsidRDefault="00AF2EF1">
    <w:pPr>
      <w:pBdr>
        <w:top w:val="nil"/>
        <w:left w:val="nil"/>
        <w:bottom w:val="nil"/>
        <w:right w:val="nil"/>
        <w:between w:val="nil"/>
      </w:pBdr>
      <w:tabs>
        <w:tab w:val="center" w:pos="4677"/>
        <w:tab w:val="right" w:pos="9355"/>
      </w:tabs>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fldChar w:fldCharType="begin"/>
    </w:r>
    <w:r>
      <w:rPr>
        <w:rFonts w:ascii="Times New Roman" w:eastAsia="Times New Roman" w:hAnsi="Times New Roman" w:cs="Times New Roman"/>
        <w:color w:val="000000"/>
      </w:rPr>
      <w:instrText>PAGE</w:instrText>
    </w:r>
    <w:r>
      <w:rPr>
        <w:rFonts w:ascii="Times New Roman" w:eastAsia="Times New Roman" w:hAnsi="Times New Roman" w:cs="Times New Roman"/>
        <w:color w:val="000000"/>
      </w:rPr>
      <w:fldChar w:fldCharType="separate"/>
    </w:r>
    <w:r w:rsidR="00EA10CD">
      <w:rPr>
        <w:rFonts w:ascii="Times New Roman" w:eastAsia="Times New Roman" w:hAnsi="Times New Roman" w:cs="Times New Roman"/>
        <w:noProof/>
        <w:color w:val="000000"/>
      </w:rPr>
      <w:t>2</w:t>
    </w:r>
    <w:r>
      <w:rPr>
        <w:rFonts w:ascii="Times New Roman" w:eastAsia="Times New Roman" w:hAnsi="Times New Roman" w:cs="Times New Roman"/>
        <w:color w:val="000000"/>
      </w:rPr>
      <w:fldChar w:fldCharType="end"/>
    </w:r>
  </w:p>
  <w:p w:rsidR="00BE5BCA" w:rsidRDefault="00BE5BCA">
    <w:pPr>
      <w:pBdr>
        <w:top w:val="nil"/>
        <w:left w:val="nil"/>
        <w:bottom w:val="nil"/>
        <w:right w:val="nil"/>
        <w:between w:val="nil"/>
      </w:pBdr>
      <w:tabs>
        <w:tab w:val="center" w:pos="4677"/>
        <w:tab w:val="right" w:pos="9355"/>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54277D"/>
    <w:multiLevelType w:val="multilevel"/>
    <w:tmpl w:val="28E646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7C577A82"/>
    <w:multiLevelType w:val="multilevel"/>
    <w:tmpl w:val="4BE01D4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5BCA"/>
    <w:rsid w:val="00032FA5"/>
    <w:rsid w:val="00237329"/>
    <w:rsid w:val="00347A01"/>
    <w:rsid w:val="0045193E"/>
    <w:rsid w:val="0069152F"/>
    <w:rsid w:val="00734A79"/>
    <w:rsid w:val="007861C6"/>
    <w:rsid w:val="00A030F2"/>
    <w:rsid w:val="00A23059"/>
    <w:rsid w:val="00AF2EF1"/>
    <w:rsid w:val="00B50717"/>
    <w:rsid w:val="00BE5BCA"/>
    <w:rsid w:val="00C06704"/>
    <w:rsid w:val="00C47BB0"/>
    <w:rsid w:val="00DB3D7C"/>
    <w:rsid w:val="00E14A70"/>
    <w:rsid w:val="00EA10CD"/>
    <w:rsid w:val="00F2099F"/>
    <w:rsid w:val="00FF797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85D06FC-A8B3-441D-821B-00B256280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uk-UA" w:eastAsia="uk-U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5">
    <w:basedOn w:val="TableNormal0"/>
    <w:tblPr>
      <w:tblStyleRowBandSize w:val="1"/>
      <w:tblStyleColBandSize w:val="1"/>
      <w:tblCellMar>
        <w:left w:w="115" w:type="dxa"/>
        <w:right w:w="115" w:type="dxa"/>
      </w:tblCellMar>
    </w:tblPr>
  </w:style>
  <w:style w:type="table" w:customStyle="1" w:styleId="a6">
    <w:basedOn w:val="TableNormal0"/>
    <w:tblPr>
      <w:tblStyleRowBandSize w:val="1"/>
      <w:tblStyleColBandSize w:val="1"/>
      <w:tblCellMar>
        <w:left w:w="115" w:type="dxa"/>
        <w:right w:w="115" w:type="dxa"/>
      </w:tblCellMar>
    </w:tblPr>
  </w:style>
  <w:style w:type="paragraph" w:styleId="a7">
    <w:name w:val="annotation text"/>
    <w:basedOn w:val="a"/>
    <w:link w:val="a8"/>
    <w:uiPriority w:val="99"/>
    <w:semiHidden/>
    <w:unhideWhenUsed/>
    <w:pPr>
      <w:spacing w:line="240" w:lineRule="auto"/>
    </w:pPr>
    <w:rPr>
      <w:sz w:val="20"/>
      <w:szCs w:val="20"/>
    </w:rPr>
  </w:style>
  <w:style w:type="character" w:customStyle="1" w:styleId="a8">
    <w:name w:val="Текст примітки Знак"/>
    <w:basedOn w:val="a0"/>
    <w:link w:val="a7"/>
    <w:uiPriority w:val="99"/>
    <w:semiHidden/>
    <w:rPr>
      <w:sz w:val="20"/>
      <w:szCs w:val="20"/>
    </w:rPr>
  </w:style>
  <w:style w:type="character" w:styleId="a9">
    <w:name w:val="annotation reference"/>
    <w:basedOn w:val="a0"/>
    <w:uiPriority w:val="99"/>
    <w:semiHidden/>
    <w:unhideWhenUsed/>
    <w:rPr>
      <w:sz w:val="16"/>
      <w:szCs w:val="16"/>
    </w:rPr>
  </w:style>
  <w:style w:type="paragraph" w:styleId="aa">
    <w:name w:val="Balloon Text"/>
    <w:basedOn w:val="a"/>
    <w:link w:val="ab"/>
    <w:uiPriority w:val="99"/>
    <w:semiHidden/>
    <w:unhideWhenUsed/>
    <w:rsid w:val="00BC0FC3"/>
    <w:pPr>
      <w:spacing w:after="0" w:line="240" w:lineRule="auto"/>
    </w:pPr>
    <w:rPr>
      <w:rFonts w:ascii="Segoe UI" w:hAnsi="Segoe UI" w:cs="Segoe UI"/>
      <w:sz w:val="18"/>
      <w:szCs w:val="18"/>
    </w:rPr>
  </w:style>
  <w:style w:type="character" w:customStyle="1" w:styleId="ab">
    <w:name w:val="Текст у виносці Знак"/>
    <w:basedOn w:val="a0"/>
    <w:link w:val="aa"/>
    <w:uiPriority w:val="99"/>
    <w:semiHidden/>
    <w:rsid w:val="00BC0FC3"/>
    <w:rPr>
      <w:rFonts w:ascii="Segoe UI" w:hAnsi="Segoe UI" w:cs="Segoe UI"/>
      <w:sz w:val="18"/>
      <w:szCs w:val="18"/>
    </w:rPr>
  </w:style>
  <w:style w:type="paragraph" w:styleId="ac">
    <w:name w:val="header"/>
    <w:basedOn w:val="a"/>
    <w:link w:val="ad"/>
    <w:uiPriority w:val="99"/>
    <w:unhideWhenUsed/>
    <w:rsid w:val="00867091"/>
    <w:pPr>
      <w:tabs>
        <w:tab w:val="center" w:pos="4677"/>
        <w:tab w:val="right" w:pos="9355"/>
      </w:tabs>
      <w:spacing w:after="0" w:line="240" w:lineRule="auto"/>
    </w:pPr>
  </w:style>
  <w:style w:type="character" w:customStyle="1" w:styleId="ad">
    <w:name w:val="Верхній колонтитул Знак"/>
    <w:basedOn w:val="a0"/>
    <w:link w:val="ac"/>
    <w:uiPriority w:val="99"/>
    <w:rsid w:val="00867091"/>
  </w:style>
  <w:style w:type="paragraph" w:styleId="ae">
    <w:name w:val="footer"/>
    <w:basedOn w:val="a"/>
    <w:link w:val="af"/>
    <w:uiPriority w:val="99"/>
    <w:unhideWhenUsed/>
    <w:rsid w:val="00867091"/>
    <w:pPr>
      <w:tabs>
        <w:tab w:val="center" w:pos="4677"/>
        <w:tab w:val="right" w:pos="9355"/>
      </w:tabs>
      <w:spacing w:after="0" w:line="240" w:lineRule="auto"/>
    </w:pPr>
  </w:style>
  <w:style w:type="character" w:customStyle="1" w:styleId="af">
    <w:name w:val="Нижній колонтитул Знак"/>
    <w:basedOn w:val="a0"/>
    <w:link w:val="ae"/>
    <w:uiPriority w:val="99"/>
    <w:rsid w:val="00867091"/>
  </w:style>
  <w:style w:type="paragraph" w:styleId="af0">
    <w:name w:val="annotation subject"/>
    <w:basedOn w:val="a7"/>
    <w:next w:val="a7"/>
    <w:link w:val="af1"/>
    <w:uiPriority w:val="99"/>
    <w:semiHidden/>
    <w:unhideWhenUsed/>
    <w:rsid w:val="00501A70"/>
    <w:rPr>
      <w:b/>
      <w:bCs/>
    </w:rPr>
  </w:style>
  <w:style w:type="character" w:customStyle="1" w:styleId="af1">
    <w:name w:val="Тема примітки Знак"/>
    <w:basedOn w:val="a8"/>
    <w:link w:val="af0"/>
    <w:uiPriority w:val="99"/>
    <w:semiHidden/>
    <w:rsid w:val="00501A70"/>
    <w:rPr>
      <w:b/>
      <w:bCs/>
      <w:sz w:val="20"/>
      <w:szCs w:val="20"/>
    </w:rPr>
  </w:style>
  <w:style w:type="table" w:customStyle="1" w:styleId="af2">
    <w:basedOn w:val="TableNormal0"/>
    <w:tblPr>
      <w:tblStyleRowBandSize w:val="1"/>
      <w:tblStyleColBandSize w:val="1"/>
      <w:tblCellMar>
        <w:left w:w="115" w:type="dxa"/>
        <w:right w:w="115" w:type="dxa"/>
      </w:tblCellMar>
    </w:tblPr>
  </w:style>
  <w:style w:type="table" w:customStyle="1" w:styleId="af3">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zBDvkcT8iScaiMcX+6fA4YGzizg==">CgMxLjAyCWlkLmdqZGd4czIKaWQuMnM4ZXlvMTIKaWQuMTdkcDh2dTIIaC5namRneHMyCWguMzBqMHpsbDIJaC4xZm9iOXRlMgppZC4yNmluMXJnMglpZC5sbnhiejkyCWguMmV0OTJwMDgAamsKNXN1Z2dlc3RJZEltcG9ydDM2MGQ5YWYwLTk2MjEtNDA1Mi1hMDkwLTViZmM5YTdhMzViYV8xEjLQmtC+0LzQsNGA0L7QsiDQlNC80LjRgtGA0L4g0JLRltGC0LDQu9GW0LnQvtCy0LjRh3IhMS15LXhCSXhSTUxKR08xTVVmZXFWaFBRbV9wX1VWekVf</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4331</Words>
  <Characters>2470</Characters>
  <Application>Microsoft Office Word</Application>
  <DocSecurity>0</DocSecurity>
  <Lines>20</Lines>
  <Paragraphs>13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6788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Ренкас Анастасія Анатоліївна</dc:creator>
  <cp:lastModifiedBy>Онікієнко Ольга Володимирівна</cp:lastModifiedBy>
  <cp:revision>2</cp:revision>
  <dcterms:created xsi:type="dcterms:W3CDTF">2025-03-14T08:34:00Z</dcterms:created>
  <dcterms:modified xsi:type="dcterms:W3CDTF">2025-03-14T08:34:00Z</dcterms:modified>
</cp:coreProperties>
</file>