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60" w:line="276" w:lineRule="auto"/>
        <w:jc w:val="center"/>
        <w:rPr/>
      </w:pPr>
      <w:r w:rsidDel="00000000" w:rsidR="00000000" w:rsidRPr="00000000">
        <w:rPr/>
        <w:drawing>
          <wp:inline distB="0" distT="0" distL="0" distR="0">
            <wp:extent cx="419100" cy="581025"/>
            <wp:effectExtent b="0" l="0" r="0" t="0"/>
            <wp:docPr descr="Описание: C:\Users\b.shapka\Desktop\Герб.jpg" id="1" name="image1.jpg"/>
            <a:graphic>
              <a:graphicData uri="http://schemas.openxmlformats.org/drawingml/2006/picture">
                <pic:pic>
                  <pic:nvPicPr>
                    <pic:cNvPr descr="Описание: C:\Users\b.shapka\Desktop\Герб.jpg" id="0" name="image1.jpg"/>
                    <pic:cNvPicPr preferRelativeResize="0"/>
                  </pic:nvPicPr>
                  <pic:blipFill>
                    <a:blip r:embed="rId6"/>
                    <a:srcRect b="0" l="0" r="0" t="0"/>
                    <a:stretch>
                      <a:fillRect/>
                    </a:stretch>
                  </pic:blipFill>
                  <pic:spPr>
                    <a:xfrm>
                      <a:off x="0" y="0"/>
                      <a:ext cx="41910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1" w:sz="12"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НАЦІОНАЛЬНЕ АГЕНТСТВО</w:t>
      </w:r>
    </w:p>
    <w:p w:rsidR="00000000" w:rsidDel="00000000" w:rsidP="00000000" w:rsidRDefault="00000000" w:rsidRPr="00000000" w14:paraId="00000003">
      <w:pPr>
        <w:pBdr>
          <w:bottom w:color="000000" w:space="1" w:sz="12"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6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З ПИТАНЬ ЗАПОБІГАННЯ КОРУПЦІЇ</w:t>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 А К А З </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 ______</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923"/>
          <w:tab w:val="left" w:leader="none" w:pos="10992"/>
          <w:tab w:val="left" w:leader="none" w:pos="11908"/>
          <w:tab w:val="left" w:leader="none" w:pos="12824"/>
          <w:tab w:val="left" w:leader="none" w:pos="13740"/>
          <w:tab w:val="left" w:leader="none" w:pos="14656"/>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923"/>
          <w:tab w:val="left" w:leader="none" w:pos="10992"/>
          <w:tab w:val="left" w:leader="none" w:pos="11908"/>
          <w:tab w:val="left" w:leader="none" w:pos="12824"/>
          <w:tab w:val="left" w:leader="none" w:pos="13740"/>
          <w:tab w:val="left" w:leader="none" w:pos="14656"/>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40" w:lineRule="auto"/>
        <w:ind w:right="5628.425196850394"/>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Про затвердження Порядку здійснення моніторингу дотримання вимог законодавства з питань лобіювання</w:t>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пункту 6</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частини першої статті 11, пункту 5 частини першої статті 12 Закону України «Про запобігання корупції» та статті 18 Закону України «Про лобіювання»,</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НАКАЗУЮ:</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8"/>
          <w:szCs w:val="28"/>
          <w:rtl w:val="0"/>
        </w:rPr>
        <w:t xml:space="preserve">Затвердити Порядок здійснення моніторингу дотримання вимог законодавства з питань лобіювання, що додається.</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Відділу організації роботи із зацікавленими сторонами та забезпечення прийняття актів антикорупційної політики подати цей наказ на державну реєстрацію до Міністерства юстиції України.</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Контроль за виконанням цього наказу залишаю за собою.</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Цей наказ набирає чинності одночасно із введенням в дію </w:t>
      </w:r>
      <w:hyperlink r:id="rId7">
        <w:r w:rsidDel="00000000" w:rsidR="00000000" w:rsidRPr="00000000">
          <w:rPr>
            <w:rFonts w:ascii="Times New Roman" w:cs="Times New Roman" w:eastAsia="Times New Roman" w:hAnsi="Times New Roman"/>
            <w:sz w:val="28"/>
            <w:szCs w:val="28"/>
            <w:rtl w:val="0"/>
          </w:rPr>
          <w:t xml:space="preserve">Закону України</w:t>
        </w:r>
      </w:hyperlink>
      <w:r w:rsidDel="00000000" w:rsidR="00000000" w:rsidRPr="00000000">
        <w:rPr>
          <w:rFonts w:ascii="Times New Roman" w:cs="Times New Roman" w:eastAsia="Times New Roman" w:hAnsi="Times New Roman"/>
          <w:sz w:val="28"/>
          <w:szCs w:val="28"/>
          <w:rtl w:val="0"/>
        </w:rPr>
        <w:t xml:space="preserve"> “Про лобіювання”, але не раніше дня його опублікування.</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left" w:leader="none" w:pos="1134"/>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tabs>
          <w:tab w:val="left" w:leader="none" w:pos="1134"/>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tabs>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Голова</w:t>
        <w:tab/>
        <w:tab/>
        <w:t xml:space="preserve">                                               Віктор ПАВЛУЩИК</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40" w:lineRule="auto"/>
        <w:ind w:left="4677.165354330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ЗАТВЕРДЖЕНО </w:t>
      </w:r>
    </w:p>
    <w:p w:rsidR="00000000" w:rsidDel="00000000" w:rsidP="00000000" w:rsidRDefault="00000000" w:rsidRPr="00000000" w14:paraId="0000001F">
      <w:pPr>
        <w:spacing w:before="120" w:line="240" w:lineRule="auto"/>
        <w:ind w:left="4677.165354330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 Національного  агентства</w:t>
      </w:r>
    </w:p>
    <w:p w:rsidR="00000000" w:rsidDel="00000000" w:rsidP="00000000" w:rsidRDefault="00000000" w:rsidRPr="00000000" w14:paraId="00000020">
      <w:pPr>
        <w:spacing w:after="120" w:line="240" w:lineRule="auto"/>
        <w:ind w:left="4677.165354330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питань запобігання корупції</w:t>
      </w:r>
    </w:p>
    <w:p w:rsidR="00000000" w:rsidDel="00000000" w:rsidP="00000000" w:rsidRDefault="00000000" w:rsidRPr="00000000" w14:paraId="00000021">
      <w:pPr>
        <w:spacing w:line="240" w:lineRule="auto"/>
        <w:ind w:left="4677.165354330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______________№ __________</w:t>
      </w:r>
      <w:r w:rsidDel="00000000" w:rsidR="00000000" w:rsidRPr="00000000">
        <w:rPr>
          <w:rtl w:val="0"/>
        </w:rPr>
      </w:r>
    </w:p>
    <w:p w:rsidR="00000000" w:rsidDel="00000000" w:rsidP="00000000" w:rsidRDefault="00000000" w:rsidRPr="00000000" w14:paraId="00000022">
      <w:pPr>
        <w:pStyle w:val="Heading2"/>
        <w:keepNext w:val="0"/>
        <w:keepLines w:val="0"/>
        <w:spacing w:after="0" w:before="0" w:line="240" w:lineRule="auto"/>
        <w:jc w:val="center"/>
        <w:rPr>
          <w:rFonts w:ascii="Times New Roman" w:cs="Times New Roman" w:eastAsia="Times New Roman" w:hAnsi="Times New Roman"/>
          <w:sz w:val="28"/>
          <w:szCs w:val="28"/>
        </w:rPr>
      </w:pPr>
      <w:bookmarkStart w:colFirst="0" w:colLast="0" w:name="_jd1sqlvc5aay" w:id="0"/>
      <w:bookmarkEnd w:id="0"/>
      <w:r w:rsidDel="00000000" w:rsidR="00000000" w:rsidRPr="00000000">
        <w:rPr>
          <w:rtl w:val="0"/>
        </w:rPr>
      </w:r>
    </w:p>
    <w:p w:rsidR="00000000" w:rsidDel="00000000" w:rsidP="00000000" w:rsidRDefault="00000000" w:rsidRPr="00000000" w14:paraId="00000023">
      <w:pPr>
        <w:pStyle w:val="Heading2"/>
        <w:keepNext w:val="0"/>
        <w:keepLines w:val="0"/>
        <w:spacing w:after="0" w:before="0" w:line="240" w:lineRule="auto"/>
        <w:jc w:val="center"/>
        <w:rPr>
          <w:rFonts w:ascii="Times New Roman" w:cs="Times New Roman" w:eastAsia="Times New Roman" w:hAnsi="Times New Roman"/>
          <w:b w:val="1"/>
          <w:sz w:val="28"/>
          <w:szCs w:val="28"/>
        </w:rPr>
      </w:pPr>
      <w:bookmarkStart w:colFirst="0" w:colLast="0" w:name="_q9ac7qp09p3t" w:id="1"/>
      <w:bookmarkEnd w:id="1"/>
      <w:r w:rsidDel="00000000" w:rsidR="00000000" w:rsidRPr="00000000">
        <w:rPr>
          <w:rFonts w:ascii="Times New Roman" w:cs="Times New Roman" w:eastAsia="Times New Roman" w:hAnsi="Times New Roman"/>
          <w:b w:val="1"/>
          <w:sz w:val="28"/>
          <w:szCs w:val="28"/>
          <w:rtl w:val="0"/>
        </w:rPr>
        <w:t xml:space="preserve">Порядок</w:t>
      </w:r>
    </w:p>
    <w:p w:rsidR="00000000" w:rsidDel="00000000" w:rsidP="00000000" w:rsidRDefault="00000000" w:rsidRPr="00000000" w14:paraId="00000024">
      <w:pPr>
        <w:pStyle w:val="Heading2"/>
        <w:keepNext w:val="0"/>
        <w:keepLines w:val="0"/>
        <w:spacing w:after="0" w:before="0" w:line="240" w:lineRule="auto"/>
        <w:jc w:val="center"/>
        <w:rPr>
          <w:rFonts w:ascii="Times New Roman" w:cs="Times New Roman" w:eastAsia="Times New Roman" w:hAnsi="Times New Roman"/>
          <w:b w:val="1"/>
          <w:sz w:val="28"/>
          <w:szCs w:val="28"/>
        </w:rPr>
      </w:pPr>
      <w:bookmarkStart w:colFirst="0" w:colLast="0" w:name="_vlt7xnywnkt9" w:id="2"/>
      <w:bookmarkEnd w:id="2"/>
      <w:r w:rsidDel="00000000" w:rsidR="00000000" w:rsidRPr="00000000">
        <w:rPr>
          <w:rFonts w:ascii="Times New Roman" w:cs="Times New Roman" w:eastAsia="Times New Roman" w:hAnsi="Times New Roman"/>
          <w:b w:val="1"/>
          <w:sz w:val="28"/>
          <w:szCs w:val="28"/>
          <w:rtl w:val="0"/>
        </w:rPr>
        <w:t xml:space="preserve">здійснення моніторингу дотримання вимог законодавства з питань лобіювання</w:t>
      </w:r>
    </w:p>
    <w:p w:rsidR="00000000" w:rsidDel="00000000" w:rsidP="00000000" w:rsidRDefault="00000000" w:rsidRPr="00000000" w14:paraId="0000002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I</w:t>
      </w:r>
      <w:r w:rsidDel="00000000" w:rsidR="00000000" w:rsidRPr="00000000">
        <w:rPr>
          <w:rFonts w:ascii="Times New Roman" w:cs="Times New Roman" w:eastAsia="Times New Roman" w:hAnsi="Times New Roman"/>
          <w:b w:val="1"/>
          <w:sz w:val="28"/>
          <w:szCs w:val="28"/>
          <w:rtl w:val="0"/>
        </w:rPr>
        <w:t xml:space="preserve">. Загальні положення</w:t>
      </w:r>
    </w:p>
    <w:p w:rsidR="00000000" w:rsidDel="00000000" w:rsidP="00000000" w:rsidRDefault="00000000" w:rsidRPr="00000000" w14:paraId="00000027">
      <w:pPr>
        <w:spacing w:after="120" w:before="120" w:line="240" w:lineRule="auto"/>
        <w:ind w:firstLine="567"/>
        <w:jc w:val="both"/>
        <w:rPr>
          <w:rFonts w:ascii="Times New Roman" w:cs="Times New Roman" w:eastAsia="Times New Roman" w:hAnsi="Times New Roman"/>
          <w:sz w:val="28"/>
          <w:szCs w:val="28"/>
          <w:highlight w:val="white"/>
        </w:rPr>
      </w:pPr>
      <w:bookmarkStart w:colFirst="0" w:colLast="0" w:name="_vn09n05qc5z1" w:id="3"/>
      <w:bookmarkEnd w:id="3"/>
      <w:r w:rsidDel="00000000" w:rsidR="00000000" w:rsidRPr="00000000">
        <w:rPr>
          <w:rFonts w:ascii="Times New Roman" w:cs="Times New Roman" w:eastAsia="Times New Roman" w:hAnsi="Times New Roman"/>
          <w:sz w:val="28"/>
          <w:szCs w:val="28"/>
          <w:rtl w:val="0"/>
        </w:rPr>
        <w:t xml:space="preserve">1. Цей Порядок визначає процедуру здійснення Національним агентством з питань запобігання корупції (далі – Національне агентство) моніторингу дотримання вимог законодавства з питань лобіювання, зокрема щодо достовірності відомостей, що подаються суб’єктами лобіювання до Реєстру прозорості, достовірності відомостей, зазначених суб’єктами лобіювання у звітах, а також виявлення ознак порушення інших вимог законодавства з питань лобіювання, у тому числі здійснення лобіювання особою, яка не набула статус суб’єкта лобіювання та відомості про яку не внесено до Реєстру прозорості (далі – моніторинг) в порядку, встановленому Законом України «Про лобіювання» (далі – Закон).</w:t>
      </w:r>
      <w:r w:rsidDel="00000000" w:rsidR="00000000" w:rsidRPr="00000000">
        <w:rPr>
          <w:rtl w:val="0"/>
        </w:rPr>
      </w:r>
    </w:p>
    <w:p w:rsidR="00000000" w:rsidDel="00000000" w:rsidP="00000000" w:rsidRDefault="00000000" w:rsidRPr="00000000" w14:paraId="00000028">
      <w:pPr>
        <w:spacing w:line="240" w:lineRule="auto"/>
        <w:ind w:firstLine="567"/>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У цьому Порядку терміни вживаються у таких значеннях:</w:t>
      </w:r>
      <w:r w:rsidDel="00000000" w:rsidR="00000000" w:rsidRPr="00000000">
        <w:rPr>
          <w:rtl w:val="0"/>
        </w:rPr>
      </w:r>
    </w:p>
    <w:p w:rsidR="00000000" w:rsidDel="00000000" w:rsidP="00000000" w:rsidRDefault="00000000" w:rsidRPr="00000000" w14:paraId="00000029">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надмірне втручання у діяльність об’єктів моніторингу – дії, які виходять за межі повноважень та прав Національного агентства, передбачених Законом та Законом України «Про запобігання корупції»;</w:t>
      </w:r>
    </w:p>
    <w:p w:rsidR="00000000" w:rsidDel="00000000" w:rsidP="00000000" w:rsidRDefault="00000000" w:rsidRPr="00000000" w14:paraId="0000002A">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 моніторингу – суб’єкт лобіювання або особа, яка здійснює лобіювання без набуття статусу суб’єкта лобіювання щодо діяльності якого здійснюється моніторинг;</w:t>
      </w:r>
    </w:p>
    <w:p w:rsidR="00000000" w:rsidDel="00000000" w:rsidP="00000000" w:rsidRDefault="00000000" w:rsidRPr="00000000" w14:paraId="0000002B">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повідомлення – письмове повідомлення суб’єкта повідомлення, що містить інформацію про можливі факти порушення вимог законодавства з питань лобіювання, що можуть бути предметом моніторингу та містить фактичні дані, що можуть бути перевірені Національним агентством;</w:t>
      </w:r>
    </w:p>
    <w:p w:rsidR="00000000" w:rsidDel="00000000" w:rsidP="00000000" w:rsidRDefault="00000000" w:rsidRPr="00000000" w14:paraId="0000002C">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моніторингу – дотримання вимог законодавства з питань лобіювання об’єктом моніторингу;</w:t>
      </w:r>
    </w:p>
    <w:p w:rsidR="00000000" w:rsidDel="00000000" w:rsidP="00000000" w:rsidRDefault="00000000" w:rsidRPr="00000000" w14:paraId="0000002D">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самостійний структурний підрозділ – самостійний структурний підрозділ апарату Національного агентства, до функцій якого належить здійснення моніторингу.</w:t>
      </w:r>
    </w:p>
    <w:p w:rsidR="00000000" w:rsidDel="00000000" w:rsidP="00000000" w:rsidRDefault="00000000" w:rsidRPr="00000000" w14:paraId="0000002E">
      <w:pPr>
        <w:spacing w:line="240" w:lineRule="auto"/>
        <w:ind w:firstLine="567"/>
        <w:jc w:val="both"/>
        <w:rPr>
          <w:rFonts w:ascii="Times New Roman" w:cs="Times New Roman" w:eastAsia="Times New Roman" w:hAnsi="Times New Roman"/>
          <w:sz w:val="28"/>
          <w:szCs w:val="28"/>
          <w:highlight w:val="white"/>
        </w:rPr>
        <w:sectPr>
          <w:footerReference r:id="rId8" w:type="default"/>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8"/>
          <w:szCs w:val="28"/>
          <w:rtl w:val="0"/>
        </w:rPr>
        <w:t xml:space="preserve">суб’єкт повідомлення – </w:t>
      </w:r>
      <w:r w:rsidDel="00000000" w:rsidR="00000000" w:rsidRPr="00000000">
        <w:rPr>
          <w:rFonts w:ascii="Times New Roman" w:cs="Times New Roman" w:eastAsia="Times New Roman" w:hAnsi="Times New Roman"/>
          <w:sz w:val="28"/>
          <w:szCs w:val="28"/>
          <w:highlight w:val="white"/>
          <w:rtl w:val="0"/>
        </w:rPr>
        <w:t xml:space="preserve">фізична або юридична особа, у тому числі об’єкт лобіювання, яка повідомила Національне агентство про можливі ознаки порушення</w:t>
      </w:r>
      <w:r w:rsidDel="00000000" w:rsidR="00000000" w:rsidRPr="00000000">
        <w:rPr>
          <w:rFonts w:ascii="Times New Roman" w:cs="Times New Roman" w:eastAsia="Times New Roman" w:hAnsi="Times New Roman"/>
          <w:sz w:val="28"/>
          <w:szCs w:val="28"/>
          <w:rtl w:val="0"/>
        </w:rPr>
        <w:t xml:space="preserve"> вимог законодавства з питань лобіювання, що можуть бути предметом моніторингу;</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2F">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Інші терміни вживаються у значеннях, наведених у Законі та Законі України </w:t>
      </w:r>
      <w:r w:rsidDel="00000000" w:rsidR="00000000" w:rsidRPr="00000000">
        <w:rPr>
          <w:rFonts w:ascii="Times New Roman" w:cs="Times New Roman" w:eastAsia="Times New Roman" w:hAnsi="Times New Roman"/>
          <w:sz w:val="28"/>
          <w:szCs w:val="28"/>
          <w:rtl w:val="0"/>
        </w:rPr>
        <w:t xml:space="preserve"> «Про запобігання корупції»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30">
      <w:pPr>
        <w:spacing w:after="120" w:before="120" w:line="240" w:lineRule="auto"/>
        <w:ind w:firstLine="570"/>
        <w:jc w:val="both"/>
        <w:rPr>
          <w:rFonts w:ascii="Times New Roman" w:cs="Times New Roman" w:eastAsia="Times New Roman" w:hAnsi="Times New Roman"/>
          <w:sz w:val="28"/>
          <w:szCs w:val="28"/>
        </w:rPr>
      </w:pPr>
      <w:bookmarkStart w:colFirst="0" w:colLast="0" w:name="_iot0lq3wzjl4" w:id="4"/>
      <w:bookmarkEnd w:id="4"/>
      <w:r w:rsidDel="00000000" w:rsidR="00000000" w:rsidRPr="00000000">
        <w:rPr>
          <w:rFonts w:ascii="Times New Roman" w:cs="Times New Roman" w:eastAsia="Times New Roman" w:hAnsi="Times New Roman"/>
          <w:sz w:val="28"/>
          <w:szCs w:val="28"/>
          <w:rtl w:val="0"/>
        </w:rPr>
        <w:t xml:space="preserve">3. Національне агентство здійснює моніторинг на підставі інформації отриманої від суб’єктів повідомлення, а також із медіа та інших відкритих джерел, яка містить відомості про невідповідність діяльності суб’єкта лобіювання вимогам Закону.</w:t>
      </w:r>
    </w:p>
    <w:p w:rsidR="00000000" w:rsidDel="00000000" w:rsidP="00000000" w:rsidRDefault="00000000" w:rsidRPr="00000000" w14:paraId="00000031">
      <w:pPr>
        <w:spacing w:after="120" w:before="120" w:line="240" w:lineRule="auto"/>
        <w:ind w:firstLine="570"/>
        <w:jc w:val="both"/>
        <w:rPr>
          <w:rFonts w:ascii="Times New Roman" w:cs="Times New Roman" w:eastAsia="Times New Roman" w:hAnsi="Times New Roman"/>
          <w:sz w:val="28"/>
          <w:szCs w:val="28"/>
        </w:rPr>
      </w:pPr>
      <w:bookmarkStart w:colFirst="0" w:colLast="0" w:name="_fgvxnliotzam" w:id="5"/>
      <w:bookmarkEnd w:id="5"/>
      <w:r w:rsidDel="00000000" w:rsidR="00000000" w:rsidRPr="00000000">
        <w:rPr>
          <w:rFonts w:ascii="Times New Roman" w:cs="Times New Roman" w:eastAsia="Times New Roman" w:hAnsi="Times New Roman"/>
          <w:sz w:val="28"/>
          <w:szCs w:val="28"/>
          <w:rtl w:val="0"/>
        </w:rPr>
        <w:t xml:space="preserve">4. Національне агентство здійснює моніторинг дотримання вимог законодавства з питань лобіювання з додержанням законодавства про захист персональних даних, без надмірного втручання у діяльність об’єктів моніторингу.</w:t>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3">
      <w:pPr>
        <w:spacing w:after="120" w:line="240" w:lineRule="auto"/>
        <w:ind w:firstLine="70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II</w:t>
      </w:r>
      <w:r w:rsidDel="00000000" w:rsidR="00000000" w:rsidRPr="00000000">
        <w:rPr>
          <w:rFonts w:ascii="Times New Roman" w:cs="Times New Roman" w:eastAsia="Times New Roman" w:hAnsi="Times New Roman"/>
          <w:b w:val="1"/>
          <w:sz w:val="28"/>
          <w:szCs w:val="28"/>
          <w:rtl w:val="0"/>
        </w:rPr>
        <w:t xml:space="preserve">. Розгляд повідомлення</w:t>
      </w:r>
    </w:p>
    <w:p w:rsidR="00000000" w:rsidDel="00000000" w:rsidP="00000000" w:rsidRDefault="00000000" w:rsidRPr="00000000" w14:paraId="00000034">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Повідомлення подається до Національного агентства у паперовій або в електронній формі. </w:t>
      </w:r>
    </w:p>
    <w:p w:rsidR="00000000" w:rsidDel="00000000" w:rsidP="00000000" w:rsidRDefault="00000000" w:rsidRPr="00000000" w14:paraId="00000035">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повідомленні зазначається:</w:t>
      </w:r>
    </w:p>
    <w:p w:rsidR="00000000" w:rsidDel="00000000" w:rsidP="00000000" w:rsidRDefault="00000000" w:rsidRPr="00000000" w14:paraId="00000036">
      <w:pPr>
        <w:numPr>
          <w:ilvl w:val="0"/>
          <w:numId w:val="1"/>
        </w:numPr>
        <w:tabs>
          <w:tab w:val="left" w:leader="none" w:pos="1134"/>
        </w:tabs>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фізичної особи суб’єкта повідомлення – прізвище, власне ім’я, по батькові (за наявності),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адреса зареєстрованого та/або задекларованого місця проживання (перебування), контактний номер телефону чи інший технічний засіб електронної комунікації, адреса електронної пошти (за наявності); для юридичної особи суб’єкта повідомлення – повне найменування, місцезнаходження, ідентифікаційний код юридичної особи згідно з Єдиним державним реєстром підприємств та організацій України;</w:t>
      </w:r>
    </w:p>
    <w:p w:rsidR="00000000" w:rsidDel="00000000" w:rsidP="00000000" w:rsidRDefault="00000000" w:rsidRPr="00000000" w14:paraId="00000037">
      <w:pPr>
        <w:numPr>
          <w:ilvl w:val="0"/>
          <w:numId w:val="1"/>
        </w:numPr>
        <w:tabs>
          <w:tab w:val="left" w:leader="none" w:pos="1134"/>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власне ім’я, по батькові (за наявності) (повне найменування юридичної особи) суб’єкта лобіювання або особи, яка не набула статусу суб’єкта лобіювання;</w:t>
      </w:r>
    </w:p>
    <w:p w:rsidR="00000000" w:rsidDel="00000000" w:rsidP="00000000" w:rsidRDefault="00000000" w:rsidRPr="00000000" w14:paraId="00000038">
      <w:pPr>
        <w:tabs>
          <w:tab w:val="left" w:leader="none" w:pos="1134"/>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повідомлення стосується суб’єкта лобіювання – зазначається його унікальний ідентифікатор</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8"/>
          <w:szCs w:val="28"/>
          <w:rtl w:val="0"/>
        </w:rPr>
        <w:t xml:space="preserve">у Реєстрі прозорості.</w:t>
      </w:r>
    </w:p>
    <w:p w:rsidR="00000000" w:rsidDel="00000000" w:rsidP="00000000" w:rsidRDefault="00000000" w:rsidRPr="00000000" w14:paraId="00000039">
      <w:pPr>
        <w:tabs>
          <w:tab w:val="left" w:leader="none" w:pos="1134"/>
        </w:tabs>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повідомлення стосується особи, яка не набула статусу суб’єкта лобіювання – зазначаються відомості, які можуть ідентифікувати таку особу, якщо такі відомості відомі суб’єкту повідомлення;</w:t>
      </w:r>
    </w:p>
    <w:p w:rsidR="00000000" w:rsidDel="00000000" w:rsidP="00000000" w:rsidRDefault="00000000" w:rsidRPr="00000000" w14:paraId="0000003A">
      <w:pPr>
        <w:numPr>
          <w:ilvl w:val="0"/>
          <w:numId w:val="1"/>
        </w:numPr>
        <w:tabs>
          <w:tab w:val="left" w:leader="none" w:pos="1134"/>
        </w:tabs>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виклад фактичних даних щодо можливих ознак порушення вимог законодавства з питань лобіювання, що можуть бути предметом моніторингу та  перевірені Національним агентством;</w:t>
      </w:r>
    </w:p>
    <w:p w:rsidR="00000000" w:rsidDel="00000000" w:rsidP="00000000" w:rsidRDefault="00000000" w:rsidRPr="00000000" w14:paraId="0000003B">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Повідомлення має бути підписано суб’єктом повідомлення із зазначенням дати.</w:t>
      </w:r>
    </w:p>
    <w:p w:rsidR="00000000" w:rsidDel="00000000" w:rsidP="00000000" w:rsidRDefault="00000000" w:rsidRPr="00000000" w14:paraId="0000003C">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Повідомлення оформлене без дотримання зазначених у пункті 1 цього розділу вимог, повертається суб’єкту повідомлення з відповідними  роз’ясненнями  не пізніше як через п’ять робочих днів від дня його надходження.</w:t>
      </w:r>
    </w:p>
    <w:p w:rsidR="00000000" w:rsidDel="00000000" w:rsidP="00000000" w:rsidRDefault="00000000" w:rsidRPr="00000000" w14:paraId="0000003D">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Повернення повідомлення не позбавляє права суб’єкта повідомлення повторно звернутися з повідомленням, оформленим з дотриманням вимог пункту 1 цього розділу до Національного агентства.</w:t>
      </w:r>
    </w:p>
    <w:p w:rsidR="00000000" w:rsidDel="00000000" w:rsidP="00000000" w:rsidRDefault="00000000" w:rsidRPr="00000000" w14:paraId="0000003E">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Повідомлення, оформлене з дотриманням вимог пункту 1 цього розділу розглядається уповноваженою особою самостійного структурного підрозділу, який за наявності ознак порушення законодавства у сфері лобіювання готує доповідну записку на ім’я керівника самостійного структурного підрозділу. </w:t>
      </w:r>
    </w:p>
    <w:p w:rsidR="00000000" w:rsidDel="00000000" w:rsidP="00000000" w:rsidRDefault="00000000" w:rsidRPr="00000000" w14:paraId="0000003F">
      <w:pPr>
        <w:spacing w:after="120" w:before="120" w:line="240" w:lineRule="auto"/>
        <w:ind w:right="-43"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Рішення про початок здійснення моніторингу приймається керівником самостійного структурного підрозділу на підставі доповідної записки про наявність ознак порушення законодавства у сфері лобіювання.</w:t>
      </w:r>
    </w:p>
    <w:p w:rsidR="00000000" w:rsidDel="00000000" w:rsidP="00000000" w:rsidRDefault="00000000" w:rsidRPr="00000000" w14:paraId="00000040">
      <w:pPr>
        <w:spacing w:after="120" w:before="120" w:line="240" w:lineRule="auto"/>
        <w:ind w:right="-43"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III</w:t>
      </w:r>
      <w:r w:rsidDel="00000000" w:rsidR="00000000" w:rsidRPr="00000000">
        <w:rPr>
          <w:rFonts w:ascii="Times New Roman" w:cs="Times New Roman" w:eastAsia="Times New Roman" w:hAnsi="Times New Roman"/>
          <w:b w:val="1"/>
          <w:sz w:val="28"/>
          <w:szCs w:val="28"/>
          <w:rtl w:val="0"/>
        </w:rPr>
        <w:t xml:space="preserve">. Порядок здійснення  моніторингу </w:t>
      </w:r>
      <w:r w:rsidDel="00000000" w:rsidR="00000000" w:rsidRPr="00000000">
        <w:rPr>
          <w:rtl w:val="0"/>
        </w:rPr>
      </w:r>
    </w:p>
    <w:p w:rsidR="00000000" w:rsidDel="00000000" w:rsidP="00000000" w:rsidRDefault="00000000" w:rsidRPr="00000000" w14:paraId="00000041">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Національне агентство невідкладно повідомляє суб’єкта лобіювання про початок здійснення стосовно нього моніторингу, у тому числі за допомогою програмних засобів Реєстру прозорості, поштового чи електронного зв’язку.</w:t>
      </w:r>
    </w:p>
    <w:p w:rsidR="00000000" w:rsidDel="00000000" w:rsidP="00000000" w:rsidRDefault="00000000" w:rsidRPr="00000000" w14:paraId="00000042">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Днем початку здійснення моніторингу вважається наступний робочий день за днем прийняття керівником самостійного структурного підрозділу рішення про початок здійснення моніторингу відповідно до пункту 3 розділу II</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цього Порядку.</w:t>
      </w:r>
    </w:p>
    <w:p w:rsidR="00000000" w:rsidDel="00000000" w:rsidP="00000000" w:rsidRDefault="00000000" w:rsidRPr="00000000" w14:paraId="00000043">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 разі встановлення невідповідності діяльності об’єкта моніторингу вимогам Закону на будь-якому етапі моніторингу Національне агентство повідомляє про такий факт об’єкт моніторингу та дає йому можливість протягом десяти робочих днів надати письмове пояснення за таким фактом.</w:t>
      </w:r>
    </w:p>
    <w:p w:rsidR="00000000" w:rsidDel="00000000" w:rsidP="00000000" w:rsidRDefault="00000000" w:rsidRPr="00000000" w14:paraId="00000044">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Моніторинг здійснюється на підставі інформації отриманої з джерел визначених пунктом 4 цього Розділу.  </w:t>
      </w:r>
    </w:p>
    <w:p w:rsidR="00000000" w:rsidDel="00000000" w:rsidP="00000000" w:rsidRDefault="00000000" w:rsidRPr="00000000" w14:paraId="00000045">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При здійсненні моніторингу  використовуються:</w:t>
      </w:r>
    </w:p>
    <w:p w:rsidR="00000000" w:rsidDel="00000000" w:rsidP="00000000" w:rsidRDefault="00000000" w:rsidRPr="00000000" w14:paraId="00000046">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відомості, отримані з інформаційно-комунікаційних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а також відомості з відкритих баз даних, реєстрів іноземних держав, судових рішень, які набрали законної сили, інших джерел, що можуть містити інформацію про предмет моніторингу;</w:t>
      </w:r>
    </w:p>
    <w:p w:rsidR="00000000" w:rsidDel="00000000" w:rsidP="00000000" w:rsidRDefault="00000000" w:rsidRPr="00000000" w14:paraId="00000047">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документи та/або інформація, надані суб’єктом повідомлення або об’єктом моніторингу;</w:t>
      </w:r>
    </w:p>
    <w:p w:rsidR="00000000" w:rsidDel="00000000" w:rsidP="00000000" w:rsidRDefault="00000000" w:rsidRPr="00000000" w14:paraId="00000048">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документи та/або інформація, у тому числі з обмеженим доступом, що надходять (отримані) від державних органів, органів місцевого самоврядування, суб’єктів господарювання незалежно від форми власності та їх посадових осіб, спеціалістів, експертів, громадян та їх об’єднань, а також від державних та інших компетентних органів влади іноземних держав;</w:t>
      </w:r>
    </w:p>
    <w:p w:rsidR="00000000" w:rsidDel="00000000" w:rsidP="00000000" w:rsidRDefault="00000000" w:rsidRPr="00000000" w14:paraId="00000049">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відомості із медіа, мережі Інтернет, інших джерел інформації, які стосуються конкретного об’єкта моніторингу та містять фактичні дані, які можуть бути перевірені.</w:t>
      </w:r>
    </w:p>
    <w:p w:rsidR="00000000" w:rsidDel="00000000" w:rsidP="00000000" w:rsidRDefault="00000000" w:rsidRPr="00000000" w14:paraId="0000004A">
      <w:pPr>
        <w:spacing w:after="120" w:before="120" w:line="240" w:lineRule="auto"/>
        <w:ind w:firstLine="567"/>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5) інші документи та інформація, які Національне агентство отримує в порядку визначеному законом. </w:t>
      </w:r>
      <w:r w:rsidDel="00000000" w:rsidR="00000000" w:rsidRPr="00000000">
        <w:rPr>
          <w:rFonts w:ascii="Times New Roman" w:cs="Times New Roman" w:eastAsia="Times New Roman" w:hAnsi="Times New Roman"/>
          <w:sz w:val="28"/>
          <w:szCs w:val="28"/>
          <w:highlight w:val="yellow"/>
          <w:rtl w:val="0"/>
        </w:rPr>
        <w:t xml:space="preserve"> </w:t>
      </w:r>
    </w:p>
    <w:p w:rsidR="00000000" w:rsidDel="00000000" w:rsidP="00000000" w:rsidRDefault="00000000" w:rsidRPr="00000000" w14:paraId="0000004B">
      <w:pPr>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Строк здійснення моніторингу, якщо об’єктом моніторингу є суб’єкт лобіювання, не може перевищувати ста двадцяти днів з дня  початку здійснення моніторингу.</w:t>
      </w:r>
    </w:p>
    <w:p w:rsidR="00000000" w:rsidDel="00000000" w:rsidP="00000000" w:rsidRDefault="00000000" w:rsidRPr="00000000" w14:paraId="0000004C">
      <w:pPr>
        <w:spacing w:after="120" w:before="120" w:line="240" w:lineRule="auto"/>
        <w:ind w:firstLine="567"/>
        <w:jc w:val="both"/>
        <w:rPr>
          <w:rFonts w:ascii="Times New Roman" w:cs="Times New Roman" w:eastAsia="Times New Roman" w:hAnsi="Times New Roman"/>
          <w:sz w:val="28"/>
          <w:szCs w:val="28"/>
        </w:rPr>
      </w:pPr>
      <w:bookmarkStart w:colFirst="0" w:colLast="0" w:name="_855bcyyv4762" w:id="6"/>
      <w:bookmarkEnd w:id="6"/>
      <w:r w:rsidDel="00000000" w:rsidR="00000000" w:rsidRPr="00000000">
        <w:rPr>
          <w:rFonts w:ascii="Times New Roman" w:cs="Times New Roman" w:eastAsia="Times New Roman" w:hAnsi="Times New Roman"/>
          <w:sz w:val="28"/>
          <w:szCs w:val="28"/>
          <w:rtl w:val="0"/>
        </w:rPr>
        <w:t xml:space="preserve">У разі, якщо об’єктом моніторингу є особа, яка здійснює лобіювання без набуття статусу суб’єкта лобіювання, строк здійснення моніторингу не може перевищувати ста вісімдесяти днів з дня  початку здійснення моніторингу.</w:t>
      </w:r>
    </w:p>
    <w:p w:rsidR="00000000" w:rsidDel="00000000" w:rsidP="00000000" w:rsidRDefault="00000000" w:rsidRPr="00000000" w14:paraId="0000004D">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 разі встановлення в межах моніторингу обставин, передбачених частиною четвертою статті 10 Закону або умисного порушення суб’єктом лобіювання обмежень, передбачених статтею 12 Закону,  Національне агентство  вносить до Реєстру прозорості запис про припинення статусу суб’єкта лобіювання у порядку визначеному Законом.</w:t>
      </w:r>
    </w:p>
    <w:p w:rsidR="00000000" w:rsidDel="00000000" w:rsidP="00000000" w:rsidRDefault="00000000" w:rsidRPr="00000000" w14:paraId="0000004E">
      <w:pPr>
        <w:spacing w:line="24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240" w:lineRule="auto"/>
        <w:ind w:firstLine="705"/>
        <w:jc w:val="center"/>
        <w:rPr>
          <w:rFonts w:ascii="Times New Roman" w:cs="Times New Roman" w:eastAsia="Times New Roman" w:hAnsi="Times New Roman"/>
          <w:b w:val="1"/>
          <w:sz w:val="28"/>
          <w:szCs w:val="28"/>
          <w:highlight w:val="red"/>
        </w:rPr>
      </w:pPr>
      <w:r w:rsidDel="00000000" w:rsidR="00000000" w:rsidRPr="00000000">
        <w:rPr>
          <w:rFonts w:ascii="Times New Roman" w:cs="Times New Roman" w:eastAsia="Times New Roman" w:hAnsi="Times New Roman"/>
          <w:b w:val="1"/>
          <w:sz w:val="28"/>
          <w:szCs w:val="28"/>
          <w:rtl w:val="0"/>
        </w:rPr>
        <w:t xml:space="preserve">IV. Результати здійсненого моніторингу</w:t>
      </w:r>
      <w:r w:rsidDel="00000000" w:rsidR="00000000" w:rsidRPr="00000000">
        <w:rPr>
          <w:rtl w:val="0"/>
        </w:rPr>
      </w:r>
    </w:p>
    <w:p w:rsidR="00000000" w:rsidDel="00000000" w:rsidP="00000000" w:rsidRDefault="00000000" w:rsidRPr="00000000" w14:paraId="00000050">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 результатами здійсненого моніторингу уповноважений працівник самостійного структурного підрозділу, готує доповідну записку на ім’я керівника самостійного структурного підрозділу, в якій зазначаються:</w:t>
      </w:r>
    </w:p>
    <w:p w:rsidR="00000000" w:rsidDel="00000000" w:rsidP="00000000" w:rsidRDefault="00000000" w:rsidRPr="00000000" w14:paraId="00000051">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початку та підстави здійснення моніторингу;</w:t>
      </w:r>
    </w:p>
    <w:p w:rsidR="00000000" w:rsidDel="00000000" w:rsidP="00000000" w:rsidRDefault="00000000" w:rsidRPr="00000000" w14:paraId="00000052">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проведених заходів та їх результати, встановлені факти невідповідності/відповідності діяльності суб’єкта лобіювання вимогам Закону;</w:t>
      </w:r>
    </w:p>
    <w:p w:rsidR="00000000" w:rsidDel="00000000" w:rsidP="00000000" w:rsidRDefault="00000000" w:rsidRPr="00000000" w14:paraId="00000053">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пропозиції щодо вжиття заходів реагування.</w:t>
      </w:r>
    </w:p>
    <w:p w:rsidR="00000000" w:rsidDel="00000000" w:rsidP="00000000" w:rsidRDefault="00000000" w:rsidRPr="00000000" w14:paraId="00000054">
      <w:pPr>
        <w:spacing w:after="120" w:before="120" w:line="24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2. Рішення про завершення моніторингу приймається керівником самостійного структурного підрозділу на підставі доповідної записки працівника самостійного структурного підрозділу, що здійснював моніторинг. </w:t>
      </w:r>
      <w:r w:rsidDel="00000000" w:rsidR="00000000" w:rsidRPr="00000000">
        <w:rPr>
          <w:rtl w:val="0"/>
        </w:rPr>
      </w:r>
    </w:p>
    <w:p w:rsidR="00000000" w:rsidDel="00000000" w:rsidP="00000000" w:rsidRDefault="00000000" w:rsidRPr="00000000" w14:paraId="00000055">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 </w:t>
      </w:r>
      <w:r w:rsidDel="00000000" w:rsidR="00000000" w:rsidRPr="00000000">
        <w:rPr>
          <w:rFonts w:ascii="Times New Roman" w:cs="Times New Roman" w:eastAsia="Times New Roman" w:hAnsi="Times New Roman"/>
          <w:sz w:val="28"/>
          <w:szCs w:val="28"/>
          <w:rtl w:val="0"/>
        </w:rPr>
        <w:t xml:space="preserve">За результатами моніторингу Національне агентство: </w:t>
      </w:r>
    </w:p>
    <w:p w:rsidR="00000000" w:rsidDel="00000000" w:rsidP="00000000" w:rsidRDefault="00000000" w:rsidRPr="00000000" w14:paraId="00000056">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виявлення ознак порушення вимог законодавства з питань лобіювання, за яке передбачена адміністративна відповідальність, вживає заходи, передбачені законодавством щодо притягнення до адміністративної відповідальності особи відповідно до Кодексу України про адміністративні правопорушення;</w:t>
      </w:r>
    </w:p>
    <w:p w:rsidR="00000000" w:rsidDel="00000000" w:rsidP="00000000" w:rsidRDefault="00000000" w:rsidRPr="00000000" w14:paraId="00000057">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виявлення невідповідності у відомостях про суб’єкта лобіювання, що містяться в Реєстрі прозорості, Національне агентство повідомляє про таку невідповідність  суб’єкта лобіювання та надає йому можливість протягом десяти робочих днів з дня отримання відповідного повідомлення усунути її.</w:t>
      </w:r>
    </w:p>
    <w:p w:rsidR="00000000" w:rsidDel="00000000" w:rsidP="00000000" w:rsidRDefault="00000000" w:rsidRPr="00000000" w14:paraId="00000058">
      <w:pPr>
        <w:spacing w:after="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якщо суб’єкт лобіювання не усунув виявлену невідповідність у вказаний строк, Національне агентство вживає заходів щодо притягнення такого суб’єкта лобіювання до відповідальності, встановленої законом.</w:t>
      </w:r>
    </w:p>
    <w:p w:rsidR="00000000" w:rsidDel="00000000" w:rsidP="00000000" w:rsidRDefault="00000000" w:rsidRPr="00000000" w14:paraId="00000059">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Національне агентство повідомляє об’єкт моніторингу про результати здійсненого щодо нього моніторингу протягом п’яти днів з дня його завершення за допомогою програмних засобів Реєстру прозорості, поштового чи електронного  зв’язку.</w:t>
      </w:r>
    </w:p>
    <w:p w:rsidR="00000000" w:rsidDel="00000000" w:rsidP="00000000" w:rsidRDefault="00000000" w:rsidRPr="00000000" w14:paraId="0000005A">
      <w:pPr>
        <w:spacing w:line="240" w:lineRule="auto"/>
        <w:ind w:firstLine="705"/>
        <w:jc w:val="both"/>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5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w:t>
      </w:r>
    </w:p>
    <w:p w:rsidR="00000000" w:rsidDel="00000000" w:rsidP="00000000" w:rsidRDefault="00000000" w:rsidRPr="00000000" w14:paraId="0000005D">
      <w:pPr>
        <w:spacing w:after="24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240" w:lineRule="auto"/>
        <w:ind w:firstLine="705"/>
        <w:jc w:val="both"/>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footerReference r:id="rId9" w:type="default"/>
      <w:type w:val="nextPage"/>
      <w:pgSz w:h="16834" w:w="11909" w:orient="portrait"/>
      <w:pgMar w:bottom="1440" w:top="1440" w:left="1440" w:right="1440" w:header="72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06"/>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18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18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zakon.rada.gov.ua/laws/show/3606-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