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195D" w14:textId="65E92720" w:rsidR="00A93280" w:rsidRPr="00AD3F24" w:rsidRDefault="0079120A" w:rsidP="006C6C4B">
      <w:pPr>
        <w:spacing w:line="240" w:lineRule="auto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AD3F2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Ключові досягнення і виклики</w:t>
      </w:r>
    </w:p>
    <w:p w14:paraId="6099C0CD" w14:textId="77777777" w:rsidR="00A93280" w:rsidRPr="00AD3F24" w:rsidRDefault="0079120A" w:rsidP="006C6C4B">
      <w:pPr>
        <w:ind w:right="-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реалізації Державної антикорупційної програми на 2023-2025 роки</w:t>
      </w:r>
    </w:p>
    <w:p w14:paraId="5F2AC9BF" w14:textId="77777777" w:rsidR="006C6C4B" w:rsidRPr="00E834B6" w:rsidRDefault="006C6C4B" w:rsidP="006C6C4B">
      <w:pPr>
        <w:shd w:val="clear" w:color="auto" w:fill="DBE5F1" w:themeFill="accent1" w:themeFillTint="33"/>
        <w:spacing w:before="240" w:after="240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834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Загальна інформація</w:t>
      </w:r>
    </w:p>
    <w:p w14:paraId="078A8F77" w14:textId="77777777" w:rsidR="006C6C4B" w:rsidRPr="00AD3F24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16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16 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ютого 2025 року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Національне агентство провело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сьомий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щоквартальний моніторинг стану виконання заходів за 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квартал 2024 року, за результатами якого було встановлено, що з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46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заходів, які містить Державна антикорупційна програма на 2023-2025 роки:</w:t>
      </w:r>
    </w:p>
    <w:p w14:paraId="69AE6AFF" w14:textId="77777777" w:rsidR="006C6C4B" w:rsidRPr="00AD3F24" w:rsidRDefault="006C6C4B" w:rsidP="006C6C4B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3B5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C55CA7B" wp14:editId="52458C67">
            <wp:extent cx="6121400" cy="6126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1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9D43" w14:textId="77777777" w:rsidR="006C6C4B" w:rsidRDefault="006C6C4B" w:rsidP="006C6C4B">
      <w:pPr>
        <w:ind w:right="-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3CB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1281C57" wp14:editId="0AD4160B">
            <wp:extent cx="3829050" cy="333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115E" w14:textId="77777777" w:rsidR="006C6C4B" w:rsidRPr="00AD3F24" w:rsidRDefault="006C6C4B" w:rsidP="006C6C4B">
      <w:pPr>
        <w:ind w:left="567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 Виконано повністю та частково – </w:t>
      </w:r>
      <w:r w:rsidRPr="001A72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(що становить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кількості)</w:t>
      </w:r>
    </w:p>
    <w:p w14:paraId="49F030EB" w14:textId="77777777" w:rsidR="006C6C4B" w:rsidRPr="00AD3F24" w:rsidRDefault="006C6C4B" w:rsidP="006C6C4B">
      <w:pPr>
        <w:ind w:left="567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 Виконується – 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77 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24.2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</w:p>
    <w:p w14:paraId="1E91852F" w14:textId="77777777" w:rsidR="006C6C4B" w:rsidRPr="00AD3F24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 Не виконано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90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заходів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7.9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</w:p>
    <w:p w14:paraId="4FAF1F6F" w14:textId="77777777" w:rsidR="006C6C4B" w:rsidRPr="00AD3F24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 Не розпочато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360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заходів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31.4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</w:p>
    <w:p w14:paraId="05866546" w14:textId="6D942AAB" w:rsidR="00A93280" w:rsidRPr="00023B5B" w:rsidRDefault="006C6C4B" w:rsidP="006C6C4B">
      <w:pPr>
        <w:shd w:val="clear" w:color="auto" w:fill="DBE5F1" w:themeFill="accent1" w:themeFillTint="33"/>
        <w:spacing w:before="240" w:after="240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</w:t>
      </w:r>
      <w:r w:rsidR="0079120A" w:rsidRPr="00AD3F2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итуація</w:t>
      </w:r>
      <w:r w:rsidR="00023B5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станом на </w:t>
      </w:r>
      <w:r w:rsidR="00023B5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IV</w:t>
      </w:r>
      <w:r w:rsidR="00023B5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квартал 2024 року</w:t>
      </w:r>
    </w:p>
    <w:p w14:paraId="0FE7D805" w14:textId="77777777" w:rsidR="00A93280" w:rsidRPr="00AD3F24" w:rsidRDefault="001A7233">
      <w:pPr>
        <w:spacing w:before="240" w:after="240"/>
        <w:ind w:right="-40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1A7233">
        <w:rPr>
          <w:rFonts w:ascii="Times New Roman" w:eastAsia="Times New Roman" w:hAnsi="Times New Roman" w:cs="Times New Roman"/>
          <w:b/>
          <w:noProof/>
          <w:sz w:val="26"/>
          <w:szCs w:val="26"/>
          <w:lang w:val="uk-UA"/>
        </w:rPr>
        <w:drawing>
          <wp:inline distT="0" distB="0" distL="0" distR="0" wp14:anchorId="13BED826" wp14:editId="1B76F1D0">
            <wp:extent cx="6121400" cy="431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E406" w14:textId="77777777" w:rsidR="00A93280" w:rsidRPr="00AD3F24" w:rsidRDefault="0079120A">
      <w:pPr>
        <w:spacing w:before="240" w:after="240"/>
        <w:ind w:right="-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AD3F2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Стан виконання заходів ДАП, </w:t>
      </w:r>
      <w:r w:rsidRPr="0095433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які мають бути завершені 3</w:t>
      </w:r>
      <w:r w:rsidR="001A72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1</w:t>
      </w:r>
      <w:r w:rsidRPr="0095433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1A723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12</w:t>
      </w:r>
      <w:r w:rsidRPr="0095433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.2024</w:t>
      </w:r>
    </w:p>
    <w:p w14:paraId="3C769A77" w14:textId="77777777" w:rsidR="00A93280" w:rsidRPr="00AD3F24" w:rsidRDefault="001A7233">
      <w:pPr>
        <w:spacing w:before="240" w:after="240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723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D278165" wp14:editId="2F9BC873">
            <wp:extent cx="6121400" cy="5499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08A5E" w14:textId="77777777" w:rsidR="00A93280" w:rsidRPr="00AD3F24" w:rsidRDefault="001A7233" w:rsidP="001A7233">
      <w:pPr>
        <w:spacing w:before="240" w:after="240"/>
        <w:ind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723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665A591" wp14:editId="048D7196">
            <wp:extent cx="382905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69A2" w14:textId="77777777" w:rsidR="00806549" w:rsidRPr="00E834B6" w:rsidRDefault="0079120A" w:rsidP="001B549B">
      <w:pPr>
        <w:shd w:val="clear" w:color="auto" w:fill="DBE5F1" w:themeFill="accent1" w:themeFillTint="33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834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Ключові досягнення у І</w:t>
      </w:r>
      <w:r w:rsidR="001A7233" w:rsidRPr="00E834B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Pr="00E834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кварталі 2024 року</w:t>
      </w:r>
    </w:p>
    <w:p w14:paraId="78FE0EF1" w14:textId="7B507886" w:rsidR="006C6C4B" w:rsidRPr="00D365EC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Президент України 17 жовтня 2024 року підписав Закон України від 20.06.2024 № 3841-ІХ «Про публічні консультації».</w:t>
      </w:r>
    </w:p>
    <w:p w14:paraId="45901DA6" w14:textId="77777777" w:rsidR="006C6C4B" w:rsidRPr="00D365EC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44CE4AF0" w14:textId="77777777" w:rsidR="006C6C4B" w:rsidRPr="00D365EC" w:rsidRDefault="006C6C4B" w:rsidP="006C6C4B">
      <w:pPr>
        <w:numPr>
          <w:ilvl w:val="0"/>
          <w:numId w:val="3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Цей Закон прийнятий з метою упорядкування залучення заінтересованих сторін до участі у прийнятті рішень шляхом проведення публічних консультацій на всіх етапах постановки проблеми, розроблення, формування та реалізації державної політики, вирішення питань місцевого значення у відповідних сферах суспільного життя.</w:t>
      </w:r>
    </w:p>
    <w:p w14:paraId="4D77325C" w14:textId="592CB6EC" w:rsidR="0079120A" w:rsidRPr="00D365EC" w:rsidRDefault="006C6C4B" w:rsidP="006C6C4B">
      <w:pPr>
        <w:shd w:val="clear" w:color="auto" w:fill="FFFFFF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Набрання чинності положеннями Закону забезпечить вдосконалення процедури формування та реалізації державної політики шляхом залучення до таких процесів безпосередніх </w:t>
      </w:r>
      <w:proofErr w:type="spellStart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, участь яких, своєю чергою, здатна підвищити якість та ефективність відповідних рішень.</w:t>
      </w:r>
    </w:p>
    <w:p w14:paraId="618A14E5" w14:textId="77777777" w:rsidR="006C6C4B" w:rsidRPr="00D365EC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BFEE7A" w14:textId="3133C2DB" w:rsidR="006C6C4B" w:rsidRPr="00D365EC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843813" w:rsidRPr="00D36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Вища рада правосуддя 17 грудня 2024 року затвердила Єдині показники для оцінки доброчесності та професійної етики суддів і кандидатів на посаду судді (рішення № 3659/0/15-24).</w:t>
      </w:r>
    </w:p>
    <w:p w14:paraId="122CA56D" w14:textId="77777777" w:rsidR="006C6C4B" w:rsidRPr="00D365EC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55D2F7AD" w14:textId="77777777" w:rsidR="006C6C4B" w:rsidRPr="00D365EC" w:rsidRDefault="006C6C4B" w:rsidP="006C6C4B">
      <w:pPr>
        <w:numPr>
          <w:ilvl w:val="0"/>
          <w:numId w:val="4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Зазначений акт встановлює чіткі критерії оцінювання суддів за такими ключовими показниками:</w:t>
      </w:r>
    </w:p>
    <w:p w14:paraId="197480B7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незалежність;</w:t>
      </w:r>
    </w:p>
    <w:p w14:paraId="257AB04B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неупередженість;</w:t>
      </w:r>
    </w:p>
    <w:p w14:paraId="6EC9EF7B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дотримання етичних норм і бездоганна поведінка у професійній діяльності та особистому житті;</w:t>
      </w:r>
    </w:p>
    <w:p w14:paraId="53F53167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чесність;</w:t>
      </w:r>
    </w:p>
    <w:p w14:paraId="00750FAB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сумлінність;</w:t>
      </w:r>
    </w:p>
    <w:p w14:paraId="25E6BF08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непідкупність;</w:t>
      </w:r>
    </w:p>
    <w:p w14:paraId="203B5A52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законність джерел походження майна, відповідність рівня життя судді (кандидата на посаду судді) або членів його сім’ї задекларованим доходам;</w:t>
      </w:r>
    </w:p>
    <w:p w14:paraId="2004B48D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відповідність способу життя судді (кандидата на посаду судді) його статусу.</w:t>
      </w:r>
    </w:p>
    <w:p w14:paraId="6F8F3C41" w14:textId="77777777" w:rsidR="006C6C4B" w:rsidRPr="00D365EC" w:rsidRDefault="006C6C4B" w:rsidP="006C6C4B">
      <w:pPr>
        <w:numPr>
          <w:ilvl w:val="0"/>
          <w:numId w:val="4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Акт сприятиме забезпеченню прозорості, об’єктивності та високих стандартів у процедурах добору та оцінювання суддів та застосовуватиметься у роботі ВРП, ВККС та ГРД, що дозволить уніфікувати підходи цих органів до оцінювання суддів та кандидатів на посаду судді.</w:t>
      </w:r>
    </w:p>
    <w:p w14:paraId="6507868E" w14:textId="77777777" w:rsidR="006C6C4B" w:rsidRPr="00D365EC" w:rsidRDefault="006C6C4B" w:rsidP="006C6C4B">
      <w:pPr>
        <w:numPr>
          <w:ilvl w:val="0"/>
          <w:numId w:val="4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Сприяє виконанню рекомендацій Європейської комісії, викладених у: </w:t>
      </w:r>
    </w:p>
    <w:p w14:paraId="6CC1DE42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</w:t>
      </w:r>
      <w:r w:rsidRPr="00D365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Звіті про прогрес України в межах Пакету розширення 2023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(рекомендація: «Перезапустити відбір звичайних суддів на основі вдосконалених правових рамок, у тому числі чітких критеріїв доброчесності та професіоналізму та сильної ролі Громадської ради доброчесності»); </w:t>
      </w:r>
    </w:p>
    <w:p w14:paraId="647880A9" w14:textId="77777777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</w:t>
      </w:r>
      <w:r w:rsidRPr="00D365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Звіті про прогрес України в межах Пакету розширення 2024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(рекомендація: «Єдині критерії оцінювання доброчесності суддів все ще потребують затвердження ВРП»);</w:t>
      </w:r>
    </w:p>
    <w:p w14:paraId="7DECC8CE" w14:textId="441A2642" w:rsidR="006C6C4B" w:rsidRPr="00D365EC" w:rsidRDefault="006C6C4B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– </w:t>
      </w:r>
      <w:proofErr w:type="spellStart"/>
      <w:r w:rsidRPr="00D365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Скринінговому</w:t>
      </w:r>
      <w:proofErr w:type="spellEnd"/>
      <w:r w:rsidRPr="00D365E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звіті 2025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(рекомендація: «Наприкінці грудня 2024 року ВРП затвердила єдині критерії оцінювання доброчесності та професійної 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етики суддів. Можливо, вони потребують подальшого вдосконалення, а потім послідовного застосування ВККС, ГРД та ВРП»).</w:t>
      </w:r>
    </w:p>
    <w:p w14:paraId="3A3A9C27" w14:textId="77777777" w:rsidR="00D61DB1" w:rsidRPr="00D365EC" w:rsidRDefault="00D61DB1" w:rsidP="006C6C4B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86BEA7" w14:textId="75854667" w:rsidR="00D61DB1" w:rsidRPr="00D365EC" w:rsidRDefault="00D61DB1" w:rsidP="00D61DB1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D365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Верховна Рада України прийняла Закон України від 19 грудня 2024 року №4170-IX «Про внесення змін до деяких законодавчих актів України щодо реформування медико-соціальної експертизи та впровадження оцінювання повсякденного функціонування», розробником якого виступило Міністерство охорони здоров’я України.</w:t>
      </w:r>
    </w:p>
    <w:p w14:paraId="134CF499" w14:textId="77777777" w:rsidR="00D61DB1" w:rsidRPr="00D365EC" w:rsidRDefault="00D61DB1" w:rsidP="00D61DB1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0A5042AA" w14:textId="77777777" w:rsidR="00D61DB1" w:rsidRPr="00D365EC" w:rsidRDefault="00D61DB1" w:rsidP="00D61DB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hAnsi="Times New Roman" w:cs="Times New Roman"/>
          <w:sz w:val="28"/>
          <w:szCs w:val="28"/>
          <w:lang w:val="uk-UA"/>
        </w:rPr>
        <w:t>Прийняття зазначеного Закону створило законодавчі підстави для реформування існуючої системи оцінки стану функціонування та індивідуальних потреб особи задля мінімізації існуючих корупційних ризиків у ній.</w:t>
      </w:r>
    </w:p>
    <w:p w14:paraId="26F01FCF" w14:textId="77777777" w:rsidR="00FB72A5" w:rsidRPr="00D365EC" w:rsidRDefault="00FB72A5" w:rsidP="00FB72A5">
      <w:pPr>
        <w:ind w:right="-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FDB5321" w14:textId="72620667" w:rsidR="00FB72A5" w:rsidRPr="00D365EC" w:rsidRDefault="00FB72A5" w:rsidP="00FB72A5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D365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іністерство оборони України, МВС, СБУ, Національна гвардія України та </w:t>
      </w:r>
      <w:proofErr w:type="spellStart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Держприкордонслужба</w:t>
      </w:r>
      <w:proofErr w:type="spellEnd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межах компетенції провели інвентаризацію та здійснили реєстрацію речових прав на сукупно 95,4 % земель оборони (крім тих, що розташовані на територіях, на яких ведуться (велися) бойові дії або тимчасово окупованих </w:t>
      </w:r>
      <w:proofErr w:type="spellStart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C11026A" w14:textId="77777777" w:rsidR="00FB72A5" w:rsidRPr="00D365EC" w:rsidRDefault="00FB72A5" w:rsidP="00FB72A5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239665CA" w14:textId="59B98307" w:rsidR="00FB72A5" w:rsidRPr="00D365EC" w:rsidRDefault="00FB72A5" w:rsidP="00FB72A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hAnsi="Times New Roman" w:cs="Times New Roman"/>
          <w:sz w:val="28"/>
          <w:szCs w:val="28"/>
          <w:lang w:val="uk-UA"/>
        </w:rPr>
        <w:t>Проведення комплексу заходів з інвентаризації та реєстрації речових прав на землі оборони є вирішальним фактором для недопущення подальших незаконних приватизацій або інших форм відчуження такого майна, які спричинили надзвичайно великі фінансові збитки для держави.</w:t>
      </w:r>
    </w:p>
    <w:p w14:paraId="3CE49BF4" w14:textId="77777777" w:rsidR="001122A6" w:rsidRPr="00D365EC" w:rsidRDefault="001122A6" w:rsidP="001122A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82A5A" w14:textId="502FED90" w:rsidR="001122A6" w:rsidRPr="00D365EC" w:rsidRDefault="001122A6" w:rsidP="001122A6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V. 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 аграрної політики та продовольства України спільно з </w:t>
      </w:r>
      <w:proofErr w:type="spellStart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Держгеокадастром</w:t>
      </w:r>
      <w:proofErr w:type="spellEnd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ДП «Центр ДЗК» забезпечили введення в дослідну експлуатацію геоінформаційної системи масової оцінки земель у складі Державного земельного кадастру.</w:t>
      </w:r>
    </w:p>
    <w:p w14:paraId="22AD9B29" w14:textId="77777777" w:rsidR="001122A6" w:rsidRPr="00D365EC" w:rsidRDefault="001122A6" w:rsidP="001122A6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79262CE9" w14:textId="77777777" w:rsidR="001122A6" w:rsidRPr="00D365EC" w:rsidRDefault="001122A6" w:rsidP="001122A6">
      <w:pPr>
        <w:numPr>
          <w:ilvl w:val="0"/>
          <w:numId w:val="5"/>
        </w:numPr>
        <w:shd w:val="clear" w:color="auto" w:fill="FFFFFF"/>
        <w:ind w:right="-40"/>
        <w:jc w:val="both"/>
        <w:rPr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Масова оцінка земель, на відміну від нормативної оцінки, використовує реальні дані ринку нерухомості – відомості про зібрані органами реєстрації прав ціни у договорах, за якими реально продавалися та купувалися об’єкти нерухомості в межах певної території. Таким чином, масова оцінка землі дозволяє наблизити оцінку до реальної ринкової вартості майна, тобто перейти до ринкової бази оцінки.</w:t>
      </w:r>
    </w:p>
    <w:p w14:paraId="4895EF9D" w14:textId="2434C02D" w:rsidR="001122A6" w:rsidRPr="00D365EC" w:rsidRDefault="001122A6" w:rsidP="001122A6">
      <w:pPr>
        <w:numPr>
          <w:ilvl w:val="0"/>
          <w:numId w:val="5"/>
        </w:numPr>
        <w:shd w:val="clear" w:color="auto" w:fill="FFFFFF"/>
        <w:ind w:right="-40"/>
        <w:jc w:val="both"/>
        <w:rPr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Введення в дослідну експлуатацію такої геоінформаційної системи вже зараз надає змогу необмеженому колу заінтересованих осіб отримати відомості про результати проведення оцінки конкретної земельної ділянки 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 її кадастровим номером, що забезпечує доступність і публічність такої інформації.</w:t>
      </w:r>
    </w:p>
    <w:p w14:paraId="16BD5318" w14:textId="77777777" w:rsidR="00FD62E7" w:rsidRPr="00D365EC" w:rsidRDefault="00FD62E7" w:rsidP="00FD62E7">
      <w:pPr>
        <w:shd w:val="clear" w:color="auto" w:fill="FFFFFF"/>
        <w:ind w:left="720" w:right="-40"/>
        <w:jc w:val="both"/>
        <w:rPr>
          <w:lang w:val="uk-UA"/>
        </w:rPr>
      </w:pPr>
    </w:p>
    <w:p w14:paraId="227524E7" w14:textId="782983E7" w:rsidR="00FD62E7" w:rsidRPr="00D365EC" w:rsidRDefault="00FD62E7" w:rsidP="00FD62E7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VІ. </w:t>
      </w: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Кабінет Міністрів України затвердив Політику державної власності постановою від 29 листопада 2024 № 1369 «Деякі питання Політики державної власності» </w:t>
      </w:r>
    </w:p>
    <w:p w14:paraId="03157B0D" w14:textId="77777777" w:rsidR="00FD62E7" w:rsidRPr="00D365EC" w:rsidRDefault="00FD62E7" w:rsidP="00FD62E7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6A1E5FFC" w14:textId="77777777" w:rsidR="00FD62E7" w:rsidRPr="00D365EC" w:rsidRDefault="00FD62E7" w:rsidP="00FD62E7">
      <w:pPr>
        <w:numPr>
          <w:ilvl w:val="0"/>
          <w:numId w:val="5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Урядом Політики державної власності збільшить ефективність управління державним сектором економіки в цілому, визначить обґрунтування та цілі залишення в державній власності державних унітарних підприємств та корпоративних прав держави у статутному капіталі господарських товариств.</w:t>
      </w:r>
    </w:p>
    <w:p w14:paraId="2A554495" w14:textId="77777777" w:rsidR="00FD62E7" w:rsidRPr="00D365EC" w:rsidRDefault="00FD62E7" w:rsidP="00FD62E7">
      <w:pPr>
        <w:numPr>
          <w:ilvl w:val="0"/>
          <w:numId w:val="5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положень такої Політики </w:t>
      </w:r>
      <w:proofErr w:type="spellStart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D36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змогу забезпечити національні економічні інтереси і національну безпеку України, економічне зростання, сталий розвиток, соціальний розвиток України, ефективне функціонування державного сектору економіки, а також стале та професійне управління державними унітарними підприємствами та господарськими товариствами, у статутному капіталі яких є корпоративні права держави, підвищення їх вартості в довгостроковій перспективі.</w:t>
      </w:r>
    </w:p>
    <w:p w14:paraId="678F35C5" w14:textId="77777777" w:rsidR="00BD398D" w:rsidRDefault="00BD398D" w:rsidP="00BD398D">
      <w:pPr>
        <w:ind w:right="-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3A8DEAAF" w14:textId="2DCB997F" w:rsidR="00BD398D" w:rsidRPr="00AD3F24" w:rsidRDefault="00BD398D" w:rsidP="00BD398D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Національне агентство здійснило </w:t>
      </w:r>
      <w:r w:rsidRPr="00637E0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7E0F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взаємодії та технічної сумісності (</w:t>
      </w:r>
      <w:proofErr w:type="spellStart"/>
      <w:r w:rsidRPr="00637E0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інтероперабельності</w:t>
      </w:r>
      <w:proofErr w:type="spellEnd"/>
      <w:r w:rsidRPr="00637E0F">
        <w:rPr>
          <w:rFonts w:ascii="Times New Roman" w:eastAsia="Times New Roman" w:hAnsi="Times New Roman" w:cs="Times New Roman"/>
          <w:sz w:val="28"/>
          <w:szCs w:val="28"/>
          <w:lang w:val="uk-UA"/>
        </w:rPr>
        <w:t>) Єдиного державного реєстру декларацій осіб, уповноважених на виконання функцій держави або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Реєстр декларацій)</w:t>
      </w:r>
      <w:r w:rsidRPr="00637E0F">
        <w:rPr>
          <w:rFonts w:ascii="Times New Roman" w:eastAsia="Times New Roman" w:hAnsi="Times New Roman" w:cs="Times New Roman"/>
          <w:sz w:val="28"/>
          <w:szCs w:val="28"/>
          <w:lang w:val="uk-UA"/>
        </w:rPr>
        <w:t>, та інших державних реєстрів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717101A1" w14:textId="77777777" w:rsidR="00BD398D" w:rsidRPr="00E834B6" w:rsidRDefault="00BD398D" w:rsidP="00BD398D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834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17587753" w14:textId="52C617F1" w:rsidR="00BD398D" w:rsidRPr="00BD398D" w:rsidRDefault="00BD398D" w:rsidP="00BD398D">
      <w:pPr>
        <w:numPr>
          <w:ilvl w:val="0"/>
          <w:numId w:val="6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Врахування результатів проведеного аналізу дозволить суттєво спростити заповнення декларації </w:t>
      </w:r>
      <w:r w:rsidRPr="00BD398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позбавить суб’єкта декларування необхідності збору великої кількості даних про нього та/або членів його сім’ї.</w:t>
      </w:r>
    </w:p>
    <w:p w14:paraId="37E66C1E" w14:textId="77777777" w:rsidR="00BD398D" w:rsidRPr="00AD3F24" w:rsidRDefault="00BD398D" w:rsidP="00BD398D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CE80E2" w14:textId="353EB668" w:rsidR="00BD398D" w:rsidRPr="00837E72" w:rsidRDefault="00B855C9" w:rsidP="00BD398D">
      <w:pPr>
        <w:ind w:right="-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BD398D"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</w:t>
      </w:r>
      <w:r w:rsidR="00BD3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D39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Національне агентство провело комплекс заходів, спрямованих на оптимізацію процесів повних перевірок та інших видів контролю.</w:t>
      </w:r>
    </w:p>
    <w:p w14:paraId="16332A9B" w14:textId="77777777" w:rsidR="00BD398D" w:rsidRPr="00E834B6" w:rsidRDefault="00BD398D" w:rsidP="00BD398D">
      <w:pPr>
        <w:ind w:right="-4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E834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43F6413E" w14:textId="77777777" w:rsidR="00BD398D" w:rsidRDefault="00BD398D" w:rsidP="00BD398D">
      <w:pPr>
        <w:numPr>
          <w:ilvl w:val="0"/>
          <w:numId w:val="1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Забезпечено м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>інімізаці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помилок при заповненні декларацій шляхом впровадження часткового автоматичного заповнення декларації про активи і доходи декларанта та членів його сім'ї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Це 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позитивно вплинуло на проведення оцінки ризиків декларацій за допомогою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логічного та арифметичного контролю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відбору на повну перевірку декларацій з найвищим показником рейтингу ризику.</w:t>
      </w:r>
    </w:p>
    <w:p w14:paraId="5931C58F" w14:textId="77777777" w:rsidR="00BD398D" w:rsidRPr="00014B38" w:rsidRDefault="00BD398D" w:rsidP="00BD398D">
      <w:pPr>
        <w:numPr>
          <w:ilvl w:val="0"/>
          <w:numId w:val="1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>більше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обсяг</w:t>
      </w:r>
      <w:r w:rsidRPr="00014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інформації, що отримується в автоматизованому режимі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завдяки</w:t>
      </w:r>
      <w:r w:rsidRPr="00014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застосуванн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014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ІТ продуктів Н</w:t>
      </w:r>
      <w:r w:rsidRPr="00D5581F">
        <w:rPr>
          <w:rFonts w:ascii="Times New Roman" w:eastAsia="Times New Roman" w:hAnsi="Times New Roman" w:cs="Times New Roman"/>
          <w:sz w:val="28"/>
          <w:szCs w:val="28"/>
          <w:lang w:val="uk-UA"/>
        </w:rPr>
        <w:t>аціонального агентства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Це</w:t>
      </w:r>
      <w:r w:rsidRPr="00D55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дозволило </w:t>
      </w:r>
      <w:r w:rsidRPr="00D5581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оптимізувати процес проведення повних перевірок декларацій та підвищити їх ефективність із 28% (</w:t>
      </w:r>
      <w:r w:rsidRPr="00AD3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2021 році) до 50% </w:t>
      </w:r>
      <w:r w:rsidRPr="00657510">
        <w:rPr>
          <w:rFonts w:ascii="Times New Roman" w:eastAsia="Times New Roman" w:hAnsi="Times New Roman" w:cs="Times New Roman"/>
          <w:sz w:val="28"/>
          <w:szCs w:val="28"/>
          <w:lang w:val="uk-UA"/>
        </w:rPr>
        <w:t>(у 2024 році</w:t>
      </w:r>
      <w:r w:rsidRPr="00014B3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574D736" w14:textId="77777777" w:rsidR="00BD398D" w:rsidRPr="00D5581F" w:rsidRDefault="00BD398D" w:rsidP="00BD398D">
      <w:pPr>
        <w:numPr>
          <w:ilvl w:val="0"/>
          <w:numId w:val="1"/>
        </w:num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кварталі 2024 року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аціональне агентство 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Pr="00837E72">
        <w:rPr>
          <w:rFonts w:ascii="Times New Roman" w:eastAsia="Times New Roman" w:hAnsi="Times New Roman" w:cs="Times New Roman"/>
          <w:sz w:val="28"/>
          <w:szCs w:val="28"/>
          <w:lang w:val="uk-UA"/>
        </w:rPr>
        <w:t>о наказ від 20.12.2024 № 424/24 про внесення змін до Порядку проведення повних перевірок декларацій від 29.01.2021 № 26/21, яким удосконалено процедуру проведення повних перевірок та оформлення її результатів.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Відповідні зміни</w:t>
      </w:r>
      <w:r w:rsidRPr="00D55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сприятим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уть</w:t>
      </w:r>
      <w:r w:rsidRPr="00D55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підвищенню як кількісних, так і якісних показників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D5581F">
        <w:rPr>
          <w:rFonts w:ascii="Times New Roman" w:eastAsia="Times New Roman" w:hAnsi="Times New Roman" w:cs="Times New Roman"/>
          <w:sz w:val="28"/>
          <w:szCs w:val="28"/>
          <w:lang w:val="uk-UA"/>
        </w:rPr>
        <w:t>повних перевірок декларацій.</w:t>
      </w:r>
    </w:p>
    <w:p w14:paraId="23725A85" w14:textId="77777777" w:rsidR="006C6C4B" w:rsidRPr="00AD3F24" w:rsidRDefault="006C6C4B" w:rsidP="006C6C4B">
      <w:pPr>
        <w:shd w:val="clear" w:color="auto" w:fill="FFFFFF"/>
        <w:ind w:right="-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0D3CA56" w14:textId="0543CCD9" w:rsidR="00A93280" w:rsidRPr="00933F2E" w:rsidRDefault="00806549" w:rsidP="001B549B">
      <w:pPr>
        <w:shd w:val="clear" w:color="auto" w:fill="FFFFFF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B855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B0473F" w:rsidRPr="00B047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B0473F" w:rsidRPr="00B0473F">
        <w:rPr>
          <w:rFonts w:ascii="Times New Roman" w:eastAsia="Times New Roman" w:hAnsi="Times New Roman" w:cs="Times New Roman"/>
          <w:sz w:val="28"/>
          <w:szCs w:val="28"/>
          <w:lang w:val="uk-UA"/>
        </w:rPr>
        <w:t>аказ</w:t>
      </w:r>
      <w:r w:rsidR="00933F2E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0473F" w:rsidRPr="00B04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Національного агентства від 12</w:t>
      </w:r>
      <w:r w:rsidR="00BA7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</w:t>
      </w:r>
      <w:r w:rsidR="00B0473F" w:rsidRPr="00B0473F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="00BA74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B0473F" w:rsidRPr="00B04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412/24 створено Міжвідомчу робочу групу з обміну інформацією про альтернативні корупційним практикам ініціативи та сервіси, які запроваджено органами виконавчої влади</w:t>
      </w:r>
      <w:r w:rsidR="00933F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Міжвідомча робоча група).</w:t>
      </w:r>
    </w:p>
    <w:p w14:paraId="71EE0BD1" w14:textId="77777777" w:rsidR="00A93280" w:rsidRPr="00E834B6" w:rsidRDefault="0079120A" w:rsidP="001B549B">
      <w:pPr>
        <w:shd w:val="clear" w:color="auto" w:fill="FFFFFF"/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834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54483DDF" w14:textId="77777777" w:rsidR="00A93280" w:rsidRPr="00933F2E" w:rsidRDefault="00933F2E" w:rsidP="00933F2E">
      <w:pPr>
        <w:numPr>
          <w:ilvl w:val="0"/>
          <w:numId w:val="2"/>
        </w:numPr>
        <w:shd w:val="clear" w:color="auto" w:fill="FFFFFF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3F2E">
        <w:rPr>
          <w:rFonts w:ascii="Times New Roman" w:eastAsia="Times New Roman" w:hAnsi="Times New Roman" w:cs="Times New Roman"/>
          <w:sz w:val="28"/>
          <w:szCs w:val="28"/>
          <w:lang w:val="uk-UA"/>
        </w:rPr>
        <w:t>Утворення Міжвідомчої робочої групи є важливим кроком для органів державної влади на шляху заміни найбільш поширених корупційних практик у найбільш уражених корупцією сферах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альтернативними законними способами задоволення потреб громадян і бізнесу</w:t>
      </w:r>
      <w:r w:rsidR="0079120A" w:rsidRPr="00933F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27A720B" w14:textId="77777777" w:rsidR="00A93280" w:rsidRPr="00933F2E" w:rsidRDefault="00933F2E" w:rsidP="00933F2E">
      <w:pPr>
        <w:numPr>
          <w:ilvl w:val="0"/>
          <w:numId w:val="2"/>
        </w:numPr>
        <w:shd w:val="clear" w:color="auto" w:fill="FFFFFF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3F2E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Належне функціонування Міжвідомчої робочої групи дозволить органам виконавчої влади обмінюватись позитивним досвідом цілком законних і зручних форм задоволення потреб фізичних та юридичних осіб, що включають у себе впровадження електронних сервісів, підвищення прозорості та підзвітності процесів, які стосуються взаємодії держави з населенням і бізнесом, спрощення процедур надання адміністративних, соціальних, комунальних та інших послуг.</w:t>
      </w:r>
    </w:p>
    <w:p w14:paraId="5E760EA0" w14:textId="77777777" w:rsidR="0079120A" w:rsidRPr="00AD3F24" w:rsidRDefault="0079120A" w:rsidP="0079120A">
      <w:pPr>
        <w:shd w:val="clear" w:color="auto" w:fill="FFFFFF"/>
        <w:ind w:left="360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B8B36B" w14:textId="76B08A0E" w:rsidR="00EB38BE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 w:rsidRPr="0037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Міністерство охорони здоров’я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України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забезпечило сумісність та взаємодію електронної системи охорони здоров’я 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>з Єдиним державним демографічним реєстром, Державним реєстром актів цивільного стану громадян, Державним реєстром фізичних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>платників податків, Єдиним державним реєстром юридичних осіб, фізичних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підприємців та громадських формувань, інформаційними системами </w:t>
      </w:r>
      <w:proofErr w:type="spellStart"/>
      <w:r w:rsidRPr="000260A3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Pr="000260A3">
        <w:rPr>
          <w:rFonts w:ascii="Times New Roman" w:hAnsi="Times New Roman" w:cs="Times New Roman"/>
          <w:sz w:val="28"/>
          <w:szCs w:val="28"/>
          <w:lang w:val="uk-UA"/>
        </w:rPr>
        <w:t>, Інформаційно-аналітичною платформою електронної верифікації та моніторингу та Державним реєстром лікарських засобів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іншими 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державними реєстрами та електронними системами.</w:t>
      </w:r>
    </w:p>
    <w:p w14:paraId="0CC7D9C1" w14:textId="77777777" w:rsidR="00EB38BE" w:rsidRPr="00E834B6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834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69F97855" w14:textId="77777777" w:rsidR="00EB38BE" w:rsidRPr="000260A3" w:rsidRDefault="00EB38BE" w:rsidP="00EB38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0A3"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 взаємоді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 та сумісн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системи охорони здоров’я </w:t>
      </w:r>
      <w:proofErr w:type="spellStart"/>
      <w:r w:rsidRPr="000260A3">
        <w:rPr>
          <w:rFonts w:ascii="Times New Roman" w:hAnsi="Times New Roman" w:cs="Times New Roman"/>
          <w:sz w:val="28"/>
          <w:szCs w:val="28"/>
          <w:lang w:val="uk-UA"/>
        </w:rPr>
        <w:t>eHealth</w:t>
      </w:r>
      <w:proofErr w:type="spellEnd"/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іншими 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державними реєстрами та електронними системами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у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неможливлює консолідування </w:t>
      </w:r>
      <w:proofErr w:type="spellStart"/>
      <w:r w:rsidRPr="000260A3">
        <w:rPr>
          <w:rFonts w:ascii="Times New Roman" w:hAnsi="Times New Roman" w:cs="Times New Roman"/>
          <w:sz w:val="28"/>
          <w:szCs w:val="28"/>
          <w:lang w:val="uk-UA"/>
        </w:rPr>
        <w:t>неверифікованої</w:t>
      </w:r>
      <w:proofErr w:type="spellEnd"/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інформації у реєстрі та необхідність співпраці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 лікарем, іншими державними органами та пацієнтом 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>«у ручному режимі», що створювало ризики суб’єктивного втручання і помилок, а також повільн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 xml:space="preserve"> обмін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</w:t>
      </w:r>
      <w:r w:rsidRPr="000260A3">
        <w:rPr>
          <w:rFonts w:ascii="Times New Roman" w:hAnsi="Times New Roman" w:cs="Times New Roman"/>
          <w:sz w:val="28"/>
          <w:szCs w:val="28"/>
          <w:lang w:val="uk-UA"/>
        </w:rPr>
        <w:t>даними.</w:t>
      </w:r>
    </w:p>
    <w:p w14:paraId="228A5010" w14:textId="77777777" w:rsidR="00EB38BE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2E40F8" w14:textId="6DAD4301" w:rsidR="00EB38BE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</w:t>
      </w:r>
      <w:r w:rsidRPr="0037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Міністерство охорони здоров’я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України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Pr="001373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ведення в експлуатацію розширеного функціоналу електронної системи охорони здоров’я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який, зокрема, стосується впровадження 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>класифікатора НК 030:2022 «Класифікатор функціонування, обмеження життєдіяльності та здоров’я»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1C7F24B1" w14:textId="77777777" w:rsidR="00EB38BE" w:rsidRPr="004F0455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04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Чому це важливо?</w:t>
      </w:r>
    </w:p>
    <w:p w14:paraId="54AF4F6D" w14:textId="77777777" w:rsidR="00EB38BE" w:rsidRPr="00137386" w:rsidRDefault="00EB38BE" w:rsidP="00EB38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Завдяки введенню в експлуатацію оновленого функціоналу в електронній системі охорони здоров’я </w:t>
      </w:r>
      <w:proofErr w:type="spellStart"/>
      <w:r w:rsidRPr="00137386">
        <w:rPr>
          <w:rFonts w:ascii="Times New Roman" w:hAnsi="Times New Roman" w:cs="Times New Roman"/>
          <w:sz w:val="28"/>
          <w:szCs w:val="28"/>
          <w:lang w:val="uk-UA"/>
        </w:rPr>
        <w:t>eHealth</w:t>
      </w:r>
      <w:proofErr w:type="spellEnd"/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 відбулось впровадження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такого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класифікатора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>що є інструментом оцінки стану функціональності особи на основі Міжнародної класифікації функціонування, обмежень життєдіяльності та здоров’я.</w:t>
      </w:r>
    </w:p>
    <w:p w14:paraId="6486DA1E" w14:textId="77777777" w:rsidR="00EB38BE" w:rsidRDefault="00EB38BE" w:rsidP="00EB38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ункціонал </w:t>
      </w:r>
      <w:proofErr w:type="spellStart"/>
      <w:r w:rsidRPr="00137386">
        <w:rPr>
          <w:rFonts w:ascii="Times New Roman" w:hAnsi="Times New Roman" w:cs="Times New Roman"/>
          <w:sz w:val="28"/>
          <w:szCs w:val="28"/>
          <w:lang w:val="uk-UA"/>
        </w:rPr>
        <w:t>eHealth</w:t>
      </w:r>
      <w:proofErr w:type="spellEnd"/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внесення електронних медичних записів про стан функціонування особи із використанням Національного класифікатора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46AA2B7" w14:textId="77777777" w:rsidR="00EB38BE" w:rsidRPr="00137386" w:rsidRDefault="00EB38BE" w:rsidP="00EB38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ункціонал </w:t>
      </w:r>
      <w:proofErr w:type="spellStart"/>
      <w:r w:rsidRPr="00137386">
        <w:rPr>
          <w:rFonts w:ascii="Times New Roman" w:hAnsi="Times New Roman" w:cs="Times New Roman"/>
          <w:sz w:val="28"/>
          <w:szCs w:val="28"/>
          <w:lang w:val="uk-UA"/>
        </w:rPr>
        <w:t>eHealth</w:t>
      </w:r>
      <w:proofErr w:type="spellEnd"/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 можлив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3738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даних із електронної системи охорони здоров’я для отримання особою відповідних послуг на основі індивідуального реабілітаційного плану із використанням Національного класифікатора.</w:t>
      </w:r>
    </w:p>
    <w:p w14:paraId="29F11CF3" w14:textId="77777777" w:rsidR="00EB38BE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DD0DA2E" w14:textId="642E1687" w:rsidR="00EB38BE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ХІІ</w:t>
      </w:r>
      <w:r w:rsidRPr="0037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Міністерство соціальної політики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аказом від 22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листопада 2024 року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536-Н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передбачило введення в промислову експлуатацію з 01 грудня 2024 року 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Єдин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інформаційн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DE547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соціальної 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и.</w:t>
      </w:r>
    </w:p>
    <w:p w14:paraId="704ED413" w14:textId="77777777" w:rsidR="00EB38BE" w:rsidRPr="009E04BC" w:rsidRDefault="00EB38BE" w:rsidP="00EB38BE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9E04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1B2AD40A" w14:textId="77777777" w:rsidR="00EB38BE" w:rsidRPr="00E36B32" w:rsidRDefault="00EB38BE" w:rsidP="00EB38B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B32">
        <w:rPr>
          <w:rFonts w:ascii="Times New Roman" w:hAnsi="Times New Roman" w:cs="Times New Roman"/>
          <w:sz w:val="28"/>
          <w:szCs w:val="28"/>
          <w:lang w:val="uk-UA"/>
        </w:rPr>
        <w:t>Функціонування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інформаційної системи </w:t>
      </w:r>
      <w:r w:rsidRPr="00E36B32">
        <w:rPr>
          <w:rFonts w:ascii="Times New Roman" w:hAnsi="Times New Roman" w:cs="Times New Roman"/>
          <w:sz w:val="28"/>
          <w:szCs w:val="28"/>
          <w:lang w:val="uk-UA"/>
        </w:rPr>
        <w:t>сприятиме:</w:t>
      </w:r>
    </w:p>
    <w:p w14:paraId="55155647" w14:textId="77777777" w:rsidR="00EB38BE" w:rsidRPr="00E36B32" w:rsidRDefault="00EB38BE" w:rsidP="00EB38B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B32">
        <w:rPr>
          <w:rFonts w:ascii="Times New Roman" w:hAnsi="Times New Roman" w:cs="Times New Roman"/>
          <w:sz w:val="28"/>
          <w:szCs w:val="28"/>
          <w:lang w:val="uk-UA"/>
        </w:rPr>
        <w:t>підвищенню ефективності управління соціальною сферою, зокрема, шляхом забезпечення доступності інформації для державних органів та органів місцевого самоврядування;</w:t>
      </w:r>
    </w:p>
    <w:p w14:paraId="2E9BC90C" w14:textId="77777777" w:rsidR="00EB38BE" w:rsidRPr="009E04BC" w:rsidRDefault="00EB38BE" w:rsidP="00EB38B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належному обліку використання коштів, передбачених в бюджеті на соціальну підтримку для всіх категорій отримувачів соціальної підтримки;</w:t>
      </w:r>
    </w:p>
    <w:p w14:paraId="297C9060" w14:textId="77777777" w:rsidR="00EB38BE" w:rsidRPr="009E04BC" w:rsidRDefault="00EB38BE" w:rsidP="00EB38B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оптимізації процесів надання соціальної підтримки та автоматизацію взаємодії між суб’єктами Єдиної системи, що дасть змогу зменшити витрати часу та зусиль на обслуговування громадян;</w:t>
      </w:r>
    </w:p>
    <w:p w14:paraId="2ABB8380" w14:textId="77777777" w:rsidR="00EB38BE" w:rsidRPr="009E04BC" w:rsidRDefault="00EB38BE" w:rsidP="00EB38B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технічній реалізації впровадження інструментів моніторингу та аналізу ефективності надання соціальної підтримки, що дасть змогу покращити якість та доступність соціальної підтримки для громадян.</w:t>
      </w:r>
    </w:p>
    <w:p w14:paraId="48515E9D" w14:textId="77777777" w:rsidR="00837E72" w:rsidRPr="009378EE" w:rsidRDefault="00837E72" w:rsidP="00837E72">
      <w:pPr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631981F" w14:textId="66451AD1" w:rsidR="0079120A" w:rsidRDefault="00B028A5" w:rsidP="00065385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 w:rsidR="00EB38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="001B549B"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79120A"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5385" w:rsidRP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Антимонопольни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065385" w:rsidRPr="00065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 України 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забезпечив розробку законопроектів </w:t>
      </w:r>
      <w:r w:rsidR="00065385" w:rsidRP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внесення змін до Закону України «Про державну допомогу суб’єктам господарювання» щодо подання інформації про державну допомогу суб’єктам господарювання та відповідальності за порушення вимог законодавства про державну допомогу суб’єктам господарювання»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(реєстр. № 12181) 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та «</w:t>
      </w:r>
      <w:r w:rsidR="00065385" w:rsidRP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Кодексу України про адміністративні правопорушення щодо відповідальності за порушення вимог законодавства про державну допомогу суб’єктам господарювання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D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38E">
        <w:rPr>
          <w:rFonts w:ascii="Times New Roman" w:eastAsia="Times New Roman" w:hAnsi="Times New Roman" w:cs="Times New Roman"/>
          <w:sz w:val="28"/>
          <w:szCs w:val="28"/>
          <w:lang w:val="uk-UA"/>
        </w:rPr>
        <w:t>(реєстр. № 12179)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, які 0</w:t>
      </w:r>
      <w:r w:rsidR="00065385" w:rsidRP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листопада </w:t>
      </w:r>
      <w:r w:rsidR="00065385" w:rsidRP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були</w:t>
      </w:r>
      <w:r w:rsidR="00065385" w:rsidRPr="000653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зареєстровані у Верховній Раді України</w:t>
      </w:r>
      <w:r w:rsidR="000653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D98F928" w14:textId="77777777" w:rsidR="00A93280" w:rsidRPr="00E834B6" w:rsidRDefault="0079120A" w:rsidP="001B549B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834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309B5730" w14:textId="77777777" w:rsidR="00AD3F24" w:rsidRDefault="0037453C" w:rsidP="0037453C">
      <w:pPr>
        <w:numPr>
          <w:ilvl w:val="0"/>
          <w:numId w:val="5"/>
        </w:numPr>
        <w:ind w:right="-40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зупинення дії окремих норм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>Про державну допомогу суб’єктам господарювання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зв’язку із введенням в Україні воєнного стану існувала проблема, що органи виконавчої влади не в повному обсязі виконували свій обов’язок щодо подання повідомлень про державну допомогу суб’єктам господарювання. Прийняття розроблен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</w:t>
      </w:r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Антимонопольним комітетом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законопроектів</w:t>
      </w:r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змогу реагувати на випадки порушення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>Про державну допомогу суб’єктам господарювання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374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заходами юридичної відповідальності, що суттєво збільшить ступінь дотримання законодавства у сфері державної допомоги.</w:t>
      </w:r>
    </w:p>
    <w:p w14:paraId="71BF9217" w14:textId="77777777" w:rsidR="00573474" w:rsidRPr="00573474" w:rsidRDefault="00573474" w:rsidP="00573474">
      <w:pPr>
        <w:shd w:val="clear" w:color="auto" w:fill="FFFFFF"/>
        <w:ind w:left="720" w:right="-40"/>
        <w:jc w:val="both"/>
        <w:rPr>
          <w:lang w:val="uk-UA"/>
        </w:rPr>
      </w:pPr>
    </w:p>
    <w:p w14:paraId="5D547EE1" w14:textId="04229F91" w:rsidR="00573474" w:rsidRDefault="00573474" w:rsidP="00573474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 w:rsidR="00B02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EB38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7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5734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істерство 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Pr="00573474">
        <w:t xml:space="preserve"> 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прийняло наказ від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635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Змін до Порядку виплати військовослужбовцям Збройних Сил України підйомної допомоги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було зареєстровано в Міністерстві юстиції України 03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 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5734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№ 1483/42828.</w:t>
      </w:r>
    </w:p>
    <w:p w14:paraId="13126AD9" w14:textId="77777777" w:rsidR="00573474" w:rsidRPr="00E834B6" w:rsidRDefault="00573474" w:rsidP="00573474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834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Чому це важливо?</w:t>
      </w:r>
    </w:p>
    <w:p w14:paraId="4499CBD7" w14:textId="5D4D286F" w:rsidR="00573474" w:rsidRDefault="00573474" w:rsidP="005734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73474">
        <w:rPr>
          <w:rFonts w:ascii="Times New Roman" w:hAnsi="Times New Roman" w:cs="Times New Roman"/>
          <w:sz w:val="28"/>
          <w:szCs w:val="28"/>
          <w:lang w:val="uk-UA"/>
        </w:rPr>
        <w:t xml:space="preserve">рийняття зазначеного наказу створило правову підставу для подальшої </w:t>
      </w:r>
      <w:proofErr w:type="spellStart"/>
      <w:r w:rsidRPr="00573474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573474">
        <w:rPr>
          <w:rFonts w:ascii="Times New Roman" w:hAnsi="Times New Roman" w:cs="Times New Roman"/>
          <w:sz w:val="28"/>
          <w:szCs w:val="28"/>
          <w:lang w:val="uk-UA"/>
        </w:rPr>
        <w:t xml:space="preserve"> процесу нарахування підйомної допомоги для військовослужбовців</w:t>
      </w:r>
      <w:r w:rsidR="00B206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7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6C2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B206C2" w:rsidRPr="0057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474">
        <w:rPr>
          <w:rFonts w:ascii="Times New Roman" w:hAnsi="Times New Roman" w:cs="Times New Roman"/>
          <w:sz w:val="28"/>
          <w:szCs w:val="28"/>
          <w:lang w:val="uk-UA"/>
        </w:rPr>
        <w:t>дозволить мінімізувати корупційні ризики, пов’язані із наділенням уповноважених посадових осіб дискреційними повноваженнями, зокрема, щодо врахування характеру і умов служби, оцінювання досягнення певних результатів у службовій діяльності військовослужбовців тощо.</w:t>
      </w:r>
    </w:p>
    <w:p w14:paraId="3BA03E7C" w14:textId="77777777" w:rsidR="00043B7A" w:rsidRDefault="00043B7A" w:rsidP="00E36B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9EE4C" w14:textId="675604B2" w:rsidR="00043B7A" w:rsidRDefault="00043B7A" w:rsidP="00043B7A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7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043B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грудня</w:t>
      </w:r>
      <w:r w:rsidRPr="00043B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043B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відбулося перше установче засідання Міжвідомчої робочої групи з підготовки пропозицій щодо реалізації Стратегії повернення </w:t>
      </w:r>
      <w:r w:rsidRPr="00043B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активів на 2023–2025 роки під головуванням голови Міжвідомчої робочої групи, Першого віце-прем’єр-міністра – Міністра економіки Юлії Свириденко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та за участі представників А</w:t>
      </w:r>
      <w:r w:rsidRPr="00043B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РМА, Міністерства юстиції України, Державної служби фінансового моніторингу України, Національного антикорупційного бюро України, Державної податкової служби України та Державної митної служби України.</w:t>
      </w:r>
    </w:p>
    <w:p w14:paraId="0D1A03BB" w14:textId="77777777" w:rsidR="00043B7A" w:rsidRPr="004F0455" w:rsidRDefault="00043B7A" w:rsidP="00043B7A">
      <w:pPr>
        <w:ind w:right="-4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F04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Чому це важливо?</w:t>
      </w:r>
    </w:p>
    <w:p w14:paraId="3A0DCA44" w14:textId="77777777" w:rsidR="00043B7A" w:rsidRPr="00043B7A" w:rsidRDefault="00043B7A" w:rsidP="009E04BC">
      <w:pPr>
        <w:pStyle w:val="a5"/>
        <w:ind w:left="142" w:firstLine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Належне ф</w:t>
      </w:r>
      <w:r w:rsidRPr="00E36B32">
        <w:rPr>
          <w:rFonts w:ascii="Times New Roman" w:hAnsi="Times New Roman" w:cs="Times New Roman"/>
          <w:sz w:val="28"/>
          <w:szCs w:val="28"/>
          <w:lang w:val="uk-UA"/>
        </w:rPr>
        <w:t>ункціонування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 Міжвідомчої робочої групи сприятиме</w:t>
      </w:r>
      <w:r w:rsidRPr="00043B7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E15686C" w14:textId="2B5E62BA" w:rsidR="00043B7A" w:rsidRPr="00043B7A" w:rsidRDefault="00043B7A" w:rsidP="009E04B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B7A">
        <w:rPr>
          <w:rFonts w:ascii="Times New Roman" w:hAnsi="Times New Roman" w:cs="Times New Roman"/>
          <w:sz w:val="28"/>
          <w:szCs w:val="28"/>
          <w:lang w:val="uk-UA"/>
        </w:rPr>
        <w:t>належній координації зусиль державних органів у рамках виконання Стратегії повернення активів та плану заходів з її реалізації, що забезпечить узгодженість дій державних органів у сфері повернення активів;</w:t>
      </w:r>
    </w:p>
    <w:p w14:paraId="5653C948" w14:textId="5DB0365E" w:rsidR="00AD3B1F" w:rsidRDefault="00043B7A" w:rsidP="00AD3B1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B7A">
        <w:rPr>
          <w:rFonts w:ascii="Times New Roman" w:hAnsi="Times New Roman" w:cs="Times New Roman"/>
          <w:sz w:val="28"/>
          <w:szCs w:val="28"/>
          <w:lang w:val="uk-UA"/>
        </w:rPr>
        <w:t>підвищенню ефективності та посиленню співпраці між державними органами, залученими до виконання Стратегії повернення активів та плану з її реалізації.</w:t>
      </w:r>
    </w:p>
    <w:p w14:paraId="7C6BBEF4" w14:textId="095CF681" w:rsidR="00043B7A" w:rsidRPr="009E04BC" w:rsidRDefault="00AD3B1F" w:rsidP="009E04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806EE67" w14:textId="77777777" w:rsidR="00AD3F24" w:rsidRPr="009E04BC" w:rsidRDefault="00AD3F24" w:rsidP="00AD3F24">
      <w:pPr>
        <w:shd w:val="clear" w:color="auto" w:fill="F2DBDB" w:themeFill="accent2" w:themeFillTint="33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9E04BC">
        <w:rPr>
          <w:rFonts w:ascii="Times New Roman" w:hAnsi="Times New Roman" w:cs="Times New Roman"/>
          <w:b/>
          <w:bCs/>
          <w:sz w:val="36"/>
          <w:szCs w:val="32"/>
        </w:rPr>
        <w:lastRenderedPageBreak/>
        <w:t xml:space="preserve">Основні виклики </w:t>
      </w:r>
    </w:p>
    <w:p w14:paraId="0CF4A184" w14:textId="77777777" w:rsidR="00AD3F24" w:rsidRPr="00576CD8" w:rsidRDefault="00AD3F24" w:rsidP="00AD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EBFE" w14:textId="7AA322CA" w:rsidR="00AD3F24" w:rsidRPr="00CD07A5" w:rsidRDefault="00AD3F24" w:rsidP="00AD3F2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uk-UA"/>
        </w:rPr>
      </w:pPr>
      <w:r w:rsidRPr="009E04BC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І. </w:t>
      </w:r>
      <w:r w:rsidR="00CD07A5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val="uk-UA"/>
        </w:rPr>
        <w:t>Підвищення ефективності загальної системи запобігання і протидії корупції</w:t>
      </w:r>
    </w:p>
    <w:p w14:paraId="2C3E3B1A" w14:textId="77777777" w:rsidR="00AD3F24" w:rsidRPr="00BD22A1" w:rsidRDefault="00AD3F24" w:rsidP="00AD3F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9385F32" w14:textId="7474B7B4" w:rsidR="00AD3F24" w:rsidRPr="009E04BC" w:rsidRDefault="009E04BC" w:rsidP="00AD3F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AD3F24"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D3064"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 w:rsidR="00AD3F24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 Парламентом закону, яким розгляд справ про адміністративні правопорушення</w:t>
      </w:r>
      <w:r w:rsidR="00007BEB" w:rsidRPr="009E04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D3F24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пов'язані з корупцією</w:t>
      </w:r>
      <w:r w:rsidR="00007BEB" w:rsidRPr="009E04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D3F24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ТОП-посадовців буде віднесено до </w:t>
      </w:r>
      <w:r w:rsidR="00AD3F24" w:rsidRPr="009E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підсудності Вищого антикорупційного суду</w:t>
      </w:r>
      <w:r w:rsidR="00AD3F24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A8CF2B" w14:textId="77777777" w:rsidR="00AD3F24" w:rsidRPr="009E04BC" w:rsidRDefault="00AD3F24" w:rsidP="00AD3F24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Чому це важливо?</w:t>
      </w:r>
    </w:p>
    <w:p w14:paraId="71205B77" w14:textId="77777777" w:rsidR="00AD3F24" w:rsidRPr="009E04BC" w:rsidRDefault="00AD3F24" w:rsidP="00AD3F24">
      <w:pPr>
        <w:numPr>
          <w:ilvl w:val="0"/>
          <w:numId w:val="8"/>
        </w:numPr>
        <w:spacing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Знизиться ризик здійснення політичного та адміністративного тиску на суддів особами, щодо яких розглядатимуться відповідні справи.</w:t>
      </w:r>
    </w:p>
    <w:p w14:paraId="0161E2F0" w14:textId="77777777" w:rsidR="00AD3F24" w:rsidRPr="009E04BC" w:rsidRDefault="00AD3F24" w:rsidP="00AD3F24">
      <w:pPr>
        <w:numPr>
          <w:ilvl w:val="0"/>
          <w:numId w:val="8"/>
        </w:numPr>
        <w:spacing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Сприятиме напрацюванню усталеної судової практики щодо застосування вимог Закону «Про запобігання корупції» та притягнення до адміністративної відповідальності за протоколами, складеними НАЗК.</w:t>
      </w:r>
    </w:p>
    <w:p w14:paraId="234BCAA9" w14:textId="77777777" w:rsidR="00AD3F24" w:rsidRPr="009E04BC" w:rsidRDefault="00AD3F24" w:rsidP="00AD3F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456B5" w14:textId="7C3B06D4" w:rsidR="00AD3F24" w:rsidRPr="009E04BC" w:rsidRDefault="00CD07A5" w:rsidP="00AD3F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44137491"/>
      <w:bookmarkStart w:id="2" w:name="_Hlk167890179"/>
      <w:bookmarkStart w:id="3" w:name="_Hlk152689465"/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24113" w:rsidRPr="009E04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AD3F24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Прийняття Парламентом закону, яким </w:t>
      </w:r>
      <w:bookmarkEnd w:id="1"/>
      <w:r w:rsidR="00AD3F24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передбачено </w:t>
      </w:r>
      <w:r w:rsidR="00AD3F24" w:rsidRPr="009E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недопустимість зловживання процесуальними правами </w:t>
      </w:r>
      <w:r w:rsidR="00AD3F24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учасниками кримінального провадження.</w:t>
      </w:r>
    </w:p>
    <w:p w14:paraId="4E7F429B" w14:textId="77777777" w:rsidR="00AD3F24" w:rsidRPr="009E04BC" w:rsidRDefault="00AD3F24" w:rsidP="00AD3F24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bookmarkStart w:id="4" w:name="_Hlk144133597"/>
      <w:r w:rsidRPr="009E0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Чому це важливо?</w:t>
      </w:r>
    </w:p>
    <w:p w14:paraId="032B2109" w14:textId="77777777" w:rsidR="00AD3F24" w:rsidRPr="009E04BC" w:rsidRDefault="00AD3F24" w:rsidP="00AD3F24">
      <w:pPr>
        <w:numPr>
          <w:ilvl w:val="0"/>
          <w:numId w:val="8"/>
        </w:numPr>
        <w:spacing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Сприятиме виконанню рекомендації № 3 Європейської Комісії щодо членства України в Європейському Союзі стосовно посилення боротьби з корупцією, зокрема шляхом забезпечення належної динаміки судових справ та винесення </w:t>
      </w:r>
      <w:proofErr w:type="spellStart"/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вироків</w:t>
      </w:r>
      <w:proofErr w:type="spellEnd"/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9EF8E3" w14:textId="77777777" w:rsidR="00AD3F24" w:rsidRPr="009E04BC" w:rsidRDefault="00AD3F24" w:rsidP="00AD3F24">
      <w:pPr>
        <w:numPr>
          <w:ilvl w:val="0"/>
          <w:numId w:val="8"/>
        </w:numPr>
        <w:spacing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Зменшить кількість випадків свідомого використання учасником кримінального провадження належних йому процесуальних прав з метою перешкоджання реалізації завдань кримінального провадження.</w:t>
      </w:r>
    </w:p>
    <w:p w14:paraId="75BEF328" w14:textId="7F81E5A7" w:rsidR="00AD3F24" w:rsidRDefault="00AD3F24" w:rsidP="00AD3F24">
      <w:pPr>
        <w:numPr>
          <w:ilvl w:val="0"/>
          <w:numId w:val="8"/>
        </w:numPr>
        <w:spacing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Підвищить динаміку судового розгляду справ</w:t>
      </w:r>
      <w:bookmarkEnd w:id="4"/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543493" w14:textId="77777777" w:rsidR="00CD07A5" w:rsidRPr="009E04BC" w:rsidRDefault="00CD07A5" w:rsidP="00CD07A5">
      <w:p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33C71" w14:textId="3F9DB08A" w:rsidR="00B24113" w:rsidRPr="009E04BC" w:rsidRDefault="00CD07A5" w:rsidP="00B2411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24113" w:rsidRPr="009E04BC">
        <w:rPr>
          <w:rFonts w:ascii="Times New Roman" w:hAnsi="Times New Roman" w:cs="Times New Roman"/>
          <w:b/>
          <w:sz w:val="28"/>
          <w:szCs w:val="28"/>
        </w:rPr>
        <w:t>.</w:t>
      </w:r>
      <w:r w:rsidR="00B24113" w:rsidRPr="009E04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4113" w:rsidRPr="009E04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proofErr w:type="spellStart"/>
      <w:r w:rsidR="00B24113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абезпечення</w:t>
      </w:r>
      <w:proofErr w:type="spellEnd"/>
      <w:r w:rsidR="00B24113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створення та подальшого функціонування </w:t>
      </w:r>
      <w:r w:rsidR="00B24113"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інформаційно-телекомунікаційної системи досудового розслідування, яка застосовується усіма органами досудового розслідування</w:t>
      </w:r>
      <w:r w:rsidR="00B24113" w:rsidRPr="009E04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AB29F14" w14:textId="77777777" w:rsidR="00B24113" w:rsidRPr="009E04BC" w:rsidRDefault="00B24113" w:rsidP="00B24113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0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Чому це важливо?</w:t>
      </w:r>
    </w:p>
    <w:p w14:paraId="318DAEEA" w14:textId="77777777" w:rsidR="00B24113" w:rsidRPr="009E04BC" w:rsidRDefault="00B24113" w:rsidP="00B24113">
      <w:pPr>
        <w:pStyle w:val="a5"/>
        <w:numPr>
          <w:ilvl w:val="0"/>
          <w:numId w:val="10"/>
        </w:numPr>
        <w:spacing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Сприятиме вирішенню проблеми н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изьк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9E0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оперативн</w:t>
      </w:r>
      <w:proofErr w:type="spellEnd"/>
      <w:r w:rsidRPr="009E04B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E04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04BC">
        <w:rPr>
          <w:rFonts w:ascii="Times New Roman" w:hAnsi="Times New Roman" w:cs="Times New Roman"/>
          <w:sz w:val="28"/>
          <w:szCs w:val="28"/>
        </w:rPr>
        <w:t xml:space="preserve"> та як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E04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04BC">
        <w:rPr>
          <w:rFonts w:ascii="Times New Roman" w:hAnsi="Times New Roman" w:cs="Times New Roman"/>
          <w:sz w:val="28"/>
          <w:szCs w:val="28"/>
        </w:rPr>
        <w:t xml:space="preserve"> здійснення досудового розслідування корупційних та пов’язаних з корупцією кримінальних правопорушень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9E04BC">
        <w:rPr>
          <w:rFonts w:ascii="Times New Roman" w:hAnsi="Times New Roman" w:cs="Times New Roman"/>
          <w:sz w:val="28"/>
          <w:szCs w:val="28"/>
        </w:rPr>
        <w:t>суттєво впливає на забезпечення невідворотності відповідальності за корупцію</w:t>
      </w:r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7C092C" w14:textId="214E50F2" w:rsidR="00B24113" w:rsidRPr="009E04BC" w:rsidRDefault="00B24113" w:rsidP="00B24113">
      <w:pPr>
        <w:pStyle w:val="a5"/>
        <w:numPr>
          <w:ilvl w:val="0"/>
          <w:numId w:val="10"/>
        </w:numPr>
        <w:spacing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Забезпечить належний рівень</w:t>
      </w:r>
      <w:r w:rsidRPr="009E0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диджиталізаці</w:t>
      </w:r>
      <w:proofErr w:type="spellEnd"/>
      <w:r w:rsidRPr="009E04B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E04BC">
        <w:rPr>
          <w:rFonts w:ascii="Times New Roman" w:hAnsi="Times New Roman" w:cs="Times New Roman"/>
          <w:sz w:val="28"/>
          <w:szCs w:val="28"/>
        </w:rPr>
        <w:t xml:space="preserve"> кримінального провадження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AFC109" w14:textId="77777777" w:rsidR="009E04BC" w:rsidRDefault="009E04BC" w:rsidP="009E04B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5E86510" w14:textId="1F00F36F" w:rsidR="009E04BC" w:rsidRPr="009E04BC" w:rsidRDefault="00CD07A5" w:rsidP="009E04B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 </w:t>
      </w:r>
      <w:r w:rsidR="009E04BC"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Забезпечення </w:t>
      </w:r>
      <w:r w:rsidR="009E04BC"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усталеності судової практики </w:t>
      </w:r>
      <w:r w:rsidR="009E04BC"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притягнення до кримінальної відповідальності осіб, винних у вчиненні корупційних та пов’язаних з корупцією кримінальних правопорушень</w:t>
      </w:r>
      <w:r w:rsidR="009E04BC"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="009E04BC" w:rsidRPr="009E04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зокрема шляхом </w:t>
      </w:r>
      <w:r w:rsidR="009E04BC"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проведення узагальнень відповідної судової практики Верховним Судом</w:t>
      </w:r>
      <w:r w:rsidR="009E04BC" w:rsidRPr="009E04BC">
        <w:rPr>
          <w:rFonts w:ascii="Times New Roman" w:hAnsi="Times New Roman" w:cs="Times New Roman"/>
          <w:sz w:val="28"/>
          <w:szCs w:val="28"/>
        </w:rPr>
        <w:t>.</w:t>
      </w:r>
    </w:p>
    <w:p w14:paraId="1F7A0436" w14:textId="77777777" w:rsidR="009E04BC" w:rsidRPr="009E04BC" w:rsidRDefault="009E04BC" w:rsidP="009E04BC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0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Чому це важливо?</w:t>
      </w:r>
    </w:p>
    <w:p w14:paraId="27004696" w14:textId="4AC3FCDE" w:rsidR="009E04BC" w:rsidRPr="009E04BC" w:rsidRDefault="009E04BC" w:rsidP="009E04BC">
      <w:pPr>
        <w:pStyle w:val="a5"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ідсутність</w:t>
      </w:r>
      <w:proofErr w:type="spellEnd"/>
      <w:r w:rsidRPr="009E04BC">
        <w:rPr>
          <w:rFonts w:ascii="Times New Roman" w:hAnsi="Times New Roman" w:cs="Times New Roman"/>
          <w:sz w:val="28"/>
          <w:szCs w:val="28"/>
        </w:rPr>
        <w:t xml:space="preserve"> актуальних узагальнень судової практики Верховним Судом щодо корупційних та пов’язаних з корупцією кримінальних правопорушень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позначається н</w:t>
      </w:r>
      <w:r w:rsidRPr="009E04BC">
        <w:rPr>
          <w:rFonts w:ascii="Times New Roman" w:hAnsi="Times New Roman" w:cs="Times New Roman"/>
          <w:sz w:val="28"/>
          <w:szCs w:val="28"/>
        </w:rPr>
        <w:t>а забезпеченні невідворотності кримінальної відповідальності за корупцію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789F5E" w14:textId="324DD68A" w:rsidR="00491ADD" w:rsidRPr="006E738E" w:rsidRDefault="009E04BC" w:rsidP="006E738E">
      <w:pPr>
        <w:pStyle w:val="a5"/>
        <w:numPr>
          <w:ilvl w:val="0"/>
          <w:numId w:val="9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бговорення</w:t>
      </w:r>
      <w:proofErr w:type="spellEnd"/>
      <w:r w:rsidRPr="009E04BC">
        <w:rPr>
          <w:rFonts w:ascii="Times New Roman" w:hAnsi="Times New Roman" w:cs="Times New Roman"/>
          <w:sz w:val="28"/>
          <w:szCs w:val="28"/>
        </w:rPr>
        <w:t xml:space="preserve"> таких узагальнень як серед суддівської спільноти, так і серед науковців, експертів, адвокатів, прокурорів, слідчих (детективів) сприяли б більш ефективному, повному та неупередженому здійсненню кримінальних проваджень на різних стадіях, дотриманню загальних засад здійснення кримінальних проваджень, а також усталеності судової практики.</w:t>
      </w:r>
      <w:bookmarkEnd w:id="2"/>
      <w:bookmarkEnd w:id="3"/>
    </w:p>
    <w:p w14:paraId="0610764E" w14:textId="77777777" w:rsidR="009E04BC" w:rsidRPr="009E04BC" w:rsidRDefault="009E04BC" w:rsidP="00AD3F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86D6CD" w14:textId="02879A2E" w:rsidR="00AD3F24" w:rsidRPr="009E04BC" w:rsidRDefault="00AD3F24" w:rsidP="00AD3F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E04B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ІІ. </w:t>
      </w:r>
      <w:bookmarkStart w:id="5" w:name="_Hlk152767689"/>
      <w:r w:rsidRPr="009E04B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Запобігання корупції у пріоритетних сферах</w:t>
      </w:r>
    </w:p>
    <w:p w14:paraId="2DEB67C4" w14:textId="77777777" w:rsidR="00AD3F24" w:rsidRPr="009E04BC" w:rsidRDefault="00AD3F24" w:rsidP="00AD3F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5"/>
    <w:p w14:paraId="527B3FAE" w14:textId="77A66EFE" w:rsidR="00964FE1" w:rsidRPr="009E04BC" w:rsidRDefault="00964FE1" w:rsidP="009E04BC">
      <w:pPr>
        <w:shd w:val="clear" w:color="auto" w:fill="DBE5F1" w:themeFill="accent1" w:themeFillTint="3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4C1">
        <w:rPr>
          <w:rFonts w:ascii="Times New Roman" w:hAnsi="Times New Roman" w:cs="Times New Roman"/>
          <w:b/>
          <w:sz w:val="28"/>
          <w:szCs w:val="28"/>
          <w:lang w:val="uk-UA"/>
        </w:rPr>
        <w:t>Сфера о</w:t>
      </w:r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>хорон</w:t>
      </w:r>
      <w:r w:rsidRPr="004744C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>здоровʼя</w:t>
      </w:r>
      <w:proofErr w:type="spellEnd"/>
    </w:p>
    <w:p w14:paraId="7D7D3119" w14:textId="2DA08199" w:rsidR="00AD3F24" w:rsidRPr="009E04BC" w:rsidRDefault="00AD3F24" w:rsidP="00AD3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</w:rPr>
        <w:t xml:space="preserve">Впровадження електронної системи обліку та управління запасами лікарських засобів та медичних виробів </w:t>
      </w:r>
      <w:r w:rsidR="00964FE1" w:rsidRPr="009E04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04BC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="00964FE1" w:rsidRPr="009E04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04BC">
        <w:rPr>
          <w:rFonts w:ascii="Times New Roman" w:hAnsi="Times New Roman" w:cs="Times New Roman"/>
          <w:sz w:val="28"/>
          <w:szCs w:val="28"/>
        </w:rPr>
        <w:t>.</w:t>
      </w:r>
    </w:p>
    <w:p w14:paraId="46D194D3" w14:textId="77777777" w:rsidR="00AD3F24" w:rsidRPr="009E04BC" w:rsidRDefault="00AD3F24" w:rsidP="00AD3F24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Чому це важливо?</w:t>
      </w:r>
    </w:p>
    <w:p w14:paraId="71474F85" w14:textId="77777777" w:rsidR="00AD3F24" w:rsidRPr="009E04BC" w:rsidRDefault="00AD3F24" w:rsidP="00AD3F24">
      <w:pPr>
        <w:pStyle w:val="a5"/>
        <w:numPr>
          <w:ilvl w:val="0"/>
          <w:numId w:val="11"/>
        </w:numPr>
        <w:spacing w:line="259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</w:rPr>
        <w:t>Забезпечуватиме оперативну, пряму та прозору процедуру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бюджетів.</w:t>
      </w:r>
    </w:p>
    <w:p w14:paraId="57C29E98" w14:textId="77777777" w:rsidR="00AD3F24" w:rsidRPr="009E04BC" w:rsidRDefault="00AD3F24" w:rsidP="00AD3F24">
      <w:pPr>
        <w:pStyle w:val="a5"/>
        <w:numPr>
          <w:ilvl w:val="0"/>
          <w:numId w:val="11"/>
        </w:numPr>
        <w:spacing w:line="259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</w:rPr>
        <w:t>Забезпечуватиме в режимі реального часу прозорий облік лікарських засобів та медичних виробів.</w:t>
      </w:r>
    </w:p>
    <w:p w14:paraId="604B2208" w14:textId="2E5BF29A" w:rsidR="00475DC7" w:rsidRPr="009E04BC" w:rsidRDefault="00475DC7" w:rsidP="00475DC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76DCE2" w14:textId="6E0C2079" w:rsidR="00964FE1" w:rsidRPr="009E04BC" w:rsidRDefault="00964FE1" w:rsidP="009E04BC">
      <w:pPr>
        <w:shd w:val="clear" w:color="auto" w:fill="DBE5F1" w:themeFill="accent1" w:themeFillTint="3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>Будівництво та містобудування</w:t>
      </w:r>
    </w:p>
    <w:p w14:paraId="3D656D90" w14:textId="7B2DA5C4" w:rsidR="00475DC7" w:rsidRPr="009E04BC" w:rsidRDefault="00A17D6A" w:rsidP="00964FE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9E04BC">
        <w:rPr>
          <w:rFonts w:ascii="Times New Roman" w:hAnsi="Times New Roman" w:cs="Times New Roman"/>
          <w:sz w:val="28"/>
          <w:szCs w:val="28"/>
        </w:rPr>
        <w:t xml:space="preserve"> </w:t>
      </w:r>
      <w:r w:rsidR="00BF4DB7" w:rsidRPr="009E04BC">
        <w:rPr>
          <w:rFonts w:ascii="Times New Roman" w:hAnsi="Times New Roman" w:cs="Times New Roman"/>
          <w:sz w:val="28"/>
          <w:szCs w:val="28"/>
        </w:rPr>
        <w:t xml:space="preserve">ведення в експлуатацію </w:t>
      </w:r>
      <w:r w:rsidR="00BF4DB7"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E04BC">
        <w:rPr>
          <w:rFonts w:ascii="Times New Roman" w:hAnsi="Times New Roman" w:cs="Times New Roman"/>
          <w:sz w:val="28"/>
          <w:szCs w:val="28"/>
        </w:rPr>
        <w:t>функціонування електронного реєстру об’єктів культурної спадщини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291349" w14:textId="77777777" w:rsidR="00475DC7" w:rsidRPr="009E04BC" w:rsidRDefault="00475DC7" w:rsidP="009E04B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Чому це важливо?</w:t>
      </w:r>
    </w:p>
    <w:p w14:paraId="7DD5DFE3" w14:textId="77777777" w:rsidR="00A17D6A" w:rsidRPr="009E04BC" w:rsidRDefault="00A17D6A" w:rsidP="009E04BC">
      <w:pPr>
        <w:pStyle w:val="a5"/>
        <w:numPr>
          <w:ilvl w:val="0"/>
          <w:numId w:val="11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E04BC">
        <w:rPr>
          <w:rFonts w:ascii="Times New Roman" w:hAnsi="Times New Roman" w:cs="Times New Roman"/>
          <w:sz w:val="28"/>
          <w:szCs w:val="28"/>
        </w:rPr>
        <w:t xml:space="preserve">приятиме уникненню необхідності додаткового пошуку чи перевірки об’єктів в інших документах, у 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4BC">
        <w:rPr>
          <w:rFonts w:ascii="Times New Roman" w:hAnsi="Times New Roman" w:cs="Times New Roman"/>
          <w:sz w:val="28"/>
          <w:szCs w:val="28"/>
        </w:rPr>
        <w:t>. радянської доби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FAF7C9" w14:textId="6226A56B" w:rsidR="00AD3F24" w:rsidRPr="009E04BC" w:rsidRDefault="00A17D6A" w:rsidP="00964FE1">
      <w:pPr>
        <w:pStyle w:val="a5"/>
        <w:numPr>
          <w:ilvl w:val="0"/>
          <w:numId w:val="11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4BC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 змогу</w:t>
      </w:r>
      <w:r w:rsidRPr="009E04BC">
        <w:rPr>
          <w:rFonts w:ascii="Times New Roman" w:hAnsi="Times New Roman" w:cs="Times New Roman"/>
          <w:sz w:val="28"/>
          <w:szCs w:val="28"/>
        </w:rPr>
        <w:t xml:space="preserve"> для однозначного розуміння чи має відповідний об’єкт певний статус і захист.</w:t>
      </w:r>
    </w:p>
    <w:p w14:paraId="7FA4F07B" w14:textId="77777777" w:rsidR="00964FE1" w:rsidRPr="009E04BC" w:rsidRDefault="00964FE1" w:rsidP="009E04BC">
      <w:pPr>
        <w:pStyle w:val="a5"/>
        <w:spacing w:line="25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700984A" w14:textId="7B3CE811" w:rsidR="00BF4DB7" w:rsidRPr="009E04BC" w:rsidRDefault="00A53E64" w:rsidP="009E04BC">
      <w:pPr>
        <w:shd w:val="clear" w:color="auto" w:fill="DBE5F1" w:themeFill="accent1" w:themeFillTint="3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>Сфера регуляторної політики</w:t>
      </w:r>
    </w:p>
    <w:p w14:paraId="3CDF0030" w14:textId="4F3A4D7D" w:rsidR="00A17D6A" w:rsidRPr="009E04BC" w:rsidRDefault="0027276B" w:rsidP="00A17D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Забезпечення публічного діалогу з бізнес-середовищем щодо дерегуляції</w:t>
      </w:r>
      <w:r w:rsidR="00964FE1"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 шляхом впровадження </w:t>
      </w:r>
      <w:r w:rsidR="00964FE1" w:rsidRPr="009E04BC">
        <w:rPr>
          <w:rFonts w:ascii="Times New Roman" w:hAnsi="Times New Roman" w:cs="Times New Roman"/>
          <w:sz w:val="28"/>
          <w:szCs w:val="28"/>
        </w:rPr>
        <w:t>ІКС «Регуляторний портал»</w:t>
      </w:r>
      <w:r w:rsidR="00A17D6A" w:rsidRPr="009E0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16F8D8" w14:textId="77777777" w:rsidR="00A17D6A" w:rsidRPr="009E04BC" w:rsidRDefault="00A17D6A" w:rsidP="00A17D6A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Чому це важливо?</w:t>
      </w:r>
    </w:p>
    <w:p w14:paraId="56555447" w14:textId="77777777" w:rsidR="00A17D6A" w:rsidRPr="009E04BC" w:rsidRDefault="0027276B" w:rsidP="0027276B">
      <w:pPr>
        <w:pStyle w:val="a5"/>
        <w:numPr>
          <w:ilvl w:val="0"/>
          <w:numId w:val="11"/>
        </w:numPr>
        <w:spacing w:line="259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Сприятиме систематичній взаємодії публічного сектору з бізнес-середовищем щодо дерегуляції, унаслідок чого буде вирішена </w:t>
      </w:r>
      <w:r w:rsidRPr="009E04BC">
        <w:rPr>
          <w:rFonts w:ascii="Times New Roman" w:hAnsi="Times New Roman" w:cs="Times New Roman"/>
          <w:sz w:val="28"/>
          <w:szCs w:val="28"/>
        </w:rPr>
        <w:t>проблема надмірного регуляторного навантаження на бізнес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8F1185" w14:textId="49C363A2" w:rsidR="00A80054" w:rsidRPr="009E04BC" w:rsidRDefault="00A80054" w:rsidP="00A8005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D2257A" w14:textId="3571C550" w:rsidR="00657510" w:rsidRPr="009E04BC" w:rsidRDefault="00657510" w:rsidP="009E04BC">
      <w:pPr>
        <w:shd w:val="clear" w:color="auto" w:fill="DBE5F1" w:themeFill="accent1" w:themeFillTint="3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>Митна сфера</w:t>
      </w:r>
    </w:p>
    <w:p w14:paraId="659FDA1B" w14:textId="0F2EE95C" w:rsidR="00A80054" w:rsidRPr="009E04BC" w:rsidRDefault="00A80054" w:rsidP="00A8005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Посилення захисту прав інтелектуальної власності офіційних імпортерів.</w:t>
      </w:r>
    </w:p>
    <w:p w14:paraId="407F1FE4" w14:textId="77777777" w:rsidR="00A80054" w:rsidRPr="009E04BC" w:rsidRDefault="00A80054" w:rsidP="00A80054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E0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Чому це важливо?</w:t>
      </w:r>
    </w:p>
    <w:p w14:paraId="67F73EC0" w14:textId="77777777" w:rsidR="00A80054" w:rsidRPr="009E04BC" w:rsidRDefault="00A80054" w:rsidP="00A80054">
      <w:pPr>
        <w:pStyle w:val="a5"/>
        <w:numPr>
          <w:ilvl w:val="0"/>
          <w:numId w:val="11"/>
        </w:numPr>
        <w:spacing w:line="259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Сприятиме вирішенню п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роблем</w:t>
      </w:r>
      <w:proofErr w:type="spellEnd"/>
      <w:r w:rsidRPr="009E04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E04BC">
        <w:rPr>
          <w:rFonts w:ascii="Times New Roman" w:hAnsi="Times New Roman" w:cs="Times New Roman"/>
          <w:sz w:val="28"/>
          <w:szCs w:val="28"/>
        </w:rPr>
        <w:t xml:space="preserve"> так званого «сірого» імпорту, який полягає у ввезенні на ринок країни оригінальних товарів, що виготовлені правовласником та введені в обіг вперше в іншій країні ним же або за його згодою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, шляхом </w:t>
      </w:r>
      <w:r w:rsidRPr="009E04BC">
        <w:rPr>
          <w:rFonts w:ascii="Times New Roman" w:hAnsi="Times New Roman" w:cs="Times New Roman"/>
          <w:sz w:val="28"/>
          <w:szCs w:val="28"/>
        </w:rPr>
        <w:t>зменшенн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E04BC">
        <w:rPr>
          <w:rFonts w:ascii="Times New Roman" w:hAnsi="Times New Roman" w:cs="Times New Roman"/>
          <w:sz w:val="28"/>
          <w:szCs w:val="28"/>
        </w:rPr>
        <w:t xml:space="preserve"> порушень прав інтелектуальної власності при імпорті 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9E04BC">
        <w:rPr>
          <w:rFonts w:ascii="Times New Roman" w:hAnsi="Times New Roman" w:cs="Times New Roman"/>
          <w:sz w:val="28"/>
          <w:szCs w:val="28"/>
        </w:rPr>
        <w:t>товарів</w:t>
      </w:r>
      <w:r w:rsidRPr="009E04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80054" w:rsidRPr="009E04BC" w:rsidSect="00D35A90">
      <w:pgSz w:w="11909" w:h="16834"/>
      <w:pgMar w:top="844" w:right="851" w:bottom="1276" w:left="1418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F1AAB" w16cex:dateUtc="2025-02-18T12:41:00Z"/>
  <w16cex:commentExtensible w16cex:durableId="2B5F1A51" w16cex:dateUtc="2025-02-18T12:40:00Z"/>
  <w16cex:commentExtensible w16cex:durableId="2B5F1EDC" w16cex:dateUtc="2025-02-18T12:59:00Z"/>
  <w16cex:commentExtensible w16cex:durableId="2B5F3678" w16cex:dateUtc="2025-02-18T14:40:00Z"/>
  <w16cex:commentExtensible w16cex:durableId="2B5F2137" w16cex:dateUtc="2025-02-18T13:09:00Z"/>
  <w16cex:commentExtensible w16cex:durableId="2B5F21AC" w16cex:dateUtc="2025-02-18T13:11:00Z"/>
  <w16cex:commentExtensible w16cex:durableId="2B5F226D" w16cex:dateUtc="2025-02-18T13:14:00Z"/>
  <w16cex:commentExtensible w16cex:durableId="2B5F22EB" w16cex:dateUtc="2025-02-18T13:16:00Z"/>
  <w16cex:commentExtensible w16cex:durableId="2B5F2567" w16cex:dateUtc="2025-02-18T13:27:00Z"/>
  <w16cex:commentExtensible w16cex:durableId="2B5F27DA" w16cex:dateUtc="2025-02-18T13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3D2"/>
    <w:multiLevelType w:val="hybridMultilevel"/>
    <w:tmpl w:val="254E966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43506"/>
    <w:multiLevelType w:val="multilevel"/>
    <w:tmpl w:val="D7DA6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67EB6"/>
    <w:multiLevelType w:val="multilevel"/>
    <w:tmpl w:val="D31EA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5428F2"/>
    <w:multiLevelType w:val="hybridMultilevel"/>
    <w:tmpl w:val="F0E05C94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5519CD"/>
    <w:multiLevelType w:val="multilevel"/>
    <w:tmpl w:val="2B1E66C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543815"/>
    <w:multiLevelType w:val="hybridMultilevel"/>
    <w:tmpl w:val="8C5ABDA4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E4E305B"/>
    <w:multiLevelType w:val="hybridMultilevel"/>
    <w:tmpl w:val="9EC6A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92555B"/>
    <w:multiLevelType w:val="hybridMultilevel"/>
    <w:tmpl w:val="6218A78E"/>
    <w:lvl w:ilvl="0" w:tplc="EC949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B64881"/>
    <w:multiLevelType w:val="hybridMultilevel"/>
    <w:tmpl w:val="811EE92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F141E6"/>
    <w:multiLevelType w:val="hybridMultilevel"/>
    <w:tmpl w:val="E71000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4D69DD"/>
    <w:multiLevelType w:val="multilevel"/>
    <w:tmpl w:val="131C9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BC68CA"/>
    <w:multiLevelType w:val="hybridMultilevel"/>
    <w:tmpl w:val="CE287AA4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326A03"/>
    <w:multiLevelType w:val="multilevel"/>
    <w:tmpl w:val="664A7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8237B1"/>
    <w:multiLevelType w:val="multilevel"/>
    <w:tmpl w:val="895E3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3E2DAF"/>
    <w:multiLevelType w:val="hybridMultilevel"/>
    <w:tmpl w:val="6E94C40E"/>
    <w:lvl w:ilvl="0" w:tplc="83A6DD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80"/>
    <w:rsid w:val="00007BEB"/>
    <w:rsid w:val="00014B38"/>
    <w:rsid w:val="00023B5B"/>
    <w:rsid w:val="00024BB0"/>
    <w:rsid w:val="000260A3"/>
    <w:rsid w:val="00043B7A"/>
    <w:rsid w:val="00065385"/>
    <w:rsid w:val="00075674"/>
    <w:rsid w:val="000D4D9E"/>
    <w:rsid w:val="001122A6"/>
    <w:rsid w:val="00137386"/>
    <w:rsid w:val="00167246"/>
    <w:rsid w:val="001A7233"/>
    <w:rsid w:val="001B549B"/>
    <w:rsid w:val="00265754"/>
    <w:rsid w:val="0027276B"/>
    <w:rsid w:val="00305B41"/>
    <w:rsid w:val="00354177"/>
    <w:rsid w:val="00360F51"/>
    <w:rsid w:val="0037453C"/>
    <w:rsid w:val="003A7C5A"/>
    <w:rsid w:val="003B16E9"/>
    <w:rsid w:val="003B23F6"/>
    <w:rsid w:val="003C3B18"/>
    <w:rsid w:val="003D3064"/>
    <w:rsid w:val="003E2E5C"/>
    <w:rsid w:val="00405957"/>
    <w:rsid w:val="00454DBA"/>
    <w:rsid w:val="0046331F"/>
    <w:rsid w:val="004744C1"/>
    <w:rsid w:val="00475DC7"/>
    <w:rsid w:val="00491ADD"/>
    <w:rsid w:val="004F0455"/>
    <w:rsid w:val="00505B98"/>
    <w:rsid w:val="00573474"/>
    <w:rsid w:val="005F4816"/>
    <w:rsid w:val="00637E0F"/>
    <w:rsid w:val="00657510"/>
    <w:rsid w:val="00672825"/>
    <w:rsid w:val="00677472"/>
    <w:rsid w:val="006825AF"/>
    <w:rsid w:val="006C6C4B"/>
    <w:rsid w:val="006E738E"/>
    <w:rsid w:val="007247BE"/>
    <w:rsid w:val="007663FE"/>
    <w:rsid w:val="0079120A"/>
    <w:rsid w:val="00793051"/>
    <w:rsid w:val="00806549"/>
    <w:rsid w:val="00813CBC"/>
    <w:rsid w:val="00837E72"/>
    <w:rsid w:val="00843813"/>
    <w:rsid w:val="00863F9E"/>
    <w:rsid w:val="008973BC"/>
    <w:rsid w:val="008B42AB"/>
    <w:rsid w:val="008C039D"/>
    <w:rsid w:val="008F73D4"/>
    <w:rsid w:val="009138D1"/>
    <w:rsid w:val="00924EE8"/>
    <w:rsid w:val="00933F2E"/>
    <w:rsid w:val="009378EE"/>
    <w:rsid w:val="0095433E"/>
    <w:rsid w:val="00964FE1"/>
    <w:rsid w:val="00971DEA"/>
    <w:rsid w:val="009E04BC"/>
    <w:rsid w:val="00A17D6A"/>
    <w:rsid w:val="00A53E64"/>
    <w:rsid w:val="00A80054"/>
    <w:rsid w:val="00A93280"/>
    <w:rsid w:val="00AA4635"/>
    <w:rsid w:val="00AD3B1F"/>
    <w:rsid w:val="00AD3F24"/>
    <w:rsid w:val="00AD4B28"/>
    <w:rsid w:val="00B028A5"/>
    <w:rsid w:val="00B0473F"/>
    <w:rsid w:val="00B0547B"/>
    <w:rsid w:val="00B206C2"/>
    <w:rsid w:val="00B24113"/>
    <w:rsid w:val="00B42F7A"/>
    <w:rsid w:val="00B43647"/>
    <w:rsid w:val="00B5744F"/>
    <w:rsid w:val="00B855C9"/>
    <w:rsid w:val="00BA74D6"/>
    <w:rsid w:val="00BD398D"/>
    <w:rsid w:val="00BF4DB7"/>
    <w:rsid w:val="00C56783"/>
    <w:rsid w:val="00C67A88"/>
    <w:rsid w:val="00CC170D"/>
    <w:rsid w:val="00CD07A5"/>
    <w:rsid w:val="00D32E95"/>
    <w:rsid w:val="00D35A90"/>
    <w:rsid w:val="00D365EC"/>
    <w:rsid w:val="00D5581F"/>
    <w:rsid w:val="00D61DB1"/>
    <w:rsid w:val="00D91526"/>
    <w:rsid w:val="00DB14B6"/>
    <w:rsid w:val="00DE547C"/>
    <w:rsid w:val="00E36B32"/>
    <w:rsid w:val="00E834B6"/>
    <w:rsid w:val="00EB38BE"/>
    <w:rsid w:val="00EE451C"/>
    <w:rsid w:val="00F01FC2"/>
    <w:rsid w:val="00F91B4D"/>
    <w:rsid w:val="00FB72A5"/>
    <w:rsid w:val="00FD3E31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CE9A"/>
  <w15:docId w15:val="{C371DD9E-9693-4DDC-A6E0-FB7AA4FF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9120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63F9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F9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63F9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F9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63F9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3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834B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E04B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E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AE622-31DC-47C6-9F1A-26A047AB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12057</Words>
  <Characters>6873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Свистун Владислав Сергійович</dc:creator>
  <cp:lastModifiedBy>Департамент антикорупційної політики</cp:lastModifiedBy>
  <cp:revision>3</cp:revision>
  <dcterms:created xsi:type="dcterms:W3CDTF">2025-02-24T14:50:00Z</dcterms:created>
  <dcterms:modified xsi:type="dcterms:W3CDTF">2025-02-28T10:52:00Z</dcterms:modified>
</cp:coreProperties>
</file>