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3DB" w:rsidRPr="00243189" w:rsidRDefault="006713DB" w:rsidP="006713DB">
      <w:pPr>
        <w:spacing w:after="0" w:line="240" w:lineRule="auto"/>
        <w:ind w:left="11057"/>
        <w:rPr>
          <w:rFonts w:ascii="Times New Roman" w:hAnsi="Times New Roman"/>
          <w:sz w:val="24"/>
          <w:szCs w:val="24"/>
        </w:rPr>
      </w:pPr>
      <w:bookmarkStart w:id="0" w:name="1135"/>
      <w:bookmarkEnd w:id="0"/>
      <w:r w:rsidRPr="00243189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2</w:t>
      </w:r>
      <w:r w:rsidRPr="00243189">
        <w:rPr>
          <w:rFonts w:ascii="Times New Roman" w:hAnsi="Times New Roman"/>
          <w:sz w:val="24"/>
          <w:szCs w:val="24"/>
        </w:rPr>
        <w:t xml:space="preserve"> до Антикорупційної програми Державного бюро розслідувань на 2026–2028 роки</w:t>
      </w:r>
    </w:p>
    <w:p w:rsidR="00230B7C" w:rsidRPr="00862F70" w:rsidRDefault="00230B7C">
      <w:pPr>
        <w:rPr>
          <w:rFonts w:ascii="Times New Roman" w:hAnsi="Times New Roman" w:cs="Times New Roman"/>
          <w:sz w:val="28"/>
        </w:rPr>
      </w:pPr>
    </w:p>
    <w:p w:rsidR="00D2420E" w:rsidRDefault="00D2420E" w:rsidP="00D24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0E">
        <w:rPr>
          <w:rFonts w:ascii="Times New Roman" w:hAnsi="Times New Roman" w:cs="Times New Roman"/>
          <w:b/>
          <w:spacing w:val="15"/>
          <w:sz w:val="28"/>
          <w:szCs w:val="28"/>
          <w:shd w:val="clear" w:color="auto" w:fill="FFFFFF"/>
        </w:rPr>
        <w:t>П</w:t>
      </w:r>
      <w:r w:rsidRPr="00D2420E">
        <w:rPr>
          <w:rFonts w:ascii="Times New Roman" w:hAnsi="Times New Roman" w:cs="Times New Roman"/>
          <w:b/>
          <w:sz w:val="28"/>
          <w:szCs w:val="28"/>
        </w:rPr>
        <w:t>ерелік заходів</w:t>
      </w:r>
    </w:p>
    <w:p w:rsidR="00862F70" w:rsidRPr="0026326D" w:rsidRDefault="00D2420E" w:rsidP="002632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420E">
        <w:rPr>
          <w:rFonts w:ascii="Times New Roman" w:hAnsi="Times New Roman" w:cs="Times New Roman"/>
          <w:b/>
          <w:sz w:val="28"/>
          <w:szCs w:val="28"/>
        </w:rPr>
        <w:t>з виконання Державної антикорупційної програми на 2023</w:t>
      </w:r>
      <w:r w:rsidR="0026326D" w:rsidRPr="0026326D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D2420E">
        <w:rPr>
          <w:rFonts w:ascii="Times New Roman" w:hAnsi="Times New Roman" w:cs="Times New Roman"/>
          <w:b/>
          <w:sz w:val="28"/>
          <w:szCs w:val="28"/>
        </w:rPr>
        <w:t>2025 р</w:t>
      </w:r>
      <w:r w:rsidR="0026326D">
        <w:rPr>
          <w:rFonts w:ascii="Times New Roman" w:hAnsi="Times New Roman" w:cs="Times New Roman"/>
          <w:b/>
          <w:sz w:val="28"/>
          <w:szCs w:val="28"/>
        </w:rPr>
        <w:t>оки</w:t>
      </w:r>
      <w:r w:rsidRPr="00D2420E">
        <w:rPr>
          <w:rFonts w:ascii="Times New Roman" w:hAnsi="Times New Roman" w:cs="Times New Roman"/>
          <w:b/>
          <w:sz w:val="28"/>
          <w:szCs w:val="28"/>
        </w:rPr>
        <w:t>, виконавцем яких є ДБР</w:t>
      </w:r>
    </w:p>
    <w:tbl>
      <w:tblPr>
        <w:tblStyle w:val="a3"/>
        <w:tblW w:w="15583" w:type="dxa"/>
        <w:tblInd w:w="-147" w:type="dxa"/>
        <w:tblLook w:val="04A0" w:firstRow="1" w:lastRow="0" w:firstColumn="1" w:lastColumn="0" w:noHBand="0" w:noVBand="1"/>
      </w:tblPr>
      <w:tblGrid>
        <w:gridCol w:w="3564"/>
        <w:gridCol w:w="1584"/>
        <w:gridCol w:w="1669"/>
        <w:gridCol w:w="2699"/>
        <w:gridCol w:w="1813"/>
        <w:gridCol w:w="1749"/>
        <w:gridCol w:w="2505"/>
      </w:tblGrid>
      <w:tr w:rsidR="00862F70" w:rsidRPr="00AB79F3" w:rsidTr="00B8574E">
        <w:tc>
          <w:tcPr>
            <w:tcW w:w="3564" w:type="dxa"/>
            <w:tcBorders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та зміст заходу</w:t>
            </w:r>
          </w:p>
        </w:tc>
        <w:tc>
          <w:tcPr>
            <w:tcW w:w="3247" w:type="dxa"/>
            <w:gridSpan w:val="2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Строки виконання</w:t>
            </w:r>
          </w:p>
        </w:tc>
        <w:tc>
          <w:tcPr>
            <w:tcW w:w="2699" w:type="dxa"/>
            <w:vMerge w:val="restart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3563" w:type="dxa"/>
            <w:gridSpan w:val="2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Фінансові ресурси</w:t>
            </w:r>
          </w:p>
        </w:tc>
        <w:tc>
          <w:tcPr>
            <w:tcW w:w="2510" w:type="dxa"/>
            <w:tcBorders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70" w:rsidRPr="00AB79F3" w:rsidTr="00B8574E">
        <w:trPr>
          <w:trHeight w:val="275"/>
        </w:trPr>
        <w:tc>
          <w:tcPr>
            <w:tcW w:w="3564" w:type="dxa"/>
            <w:tcBorders>
              <w:top w:val="nil"/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Дата початку</w:t>
            </w:r>
          </w:p>
        </w:tc>
        <w:tc>
          <w:tcPr>
            <w:tcW w:w="1662" w:type="dxa"/>
            <w:vMerge w:val="restart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Дата завершення</w:t>
            </w:r>
          </w:p>
        </w:tc>
        <w:tc>
          <w:tcPr>
            <w:tcW w:w="2699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49" w:type="dxa"/>
            <w:vMerge w:val="restart"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фінансувань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D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(індикатор) виконання</w:t>
            </w:r>
          </w:p>
        </w:tc>
      </w:tr>
      <w:tr w:rsidR="00862F70" w:rsidRPr="00AB79F3" w:rsidTr="00B8574E">
        <w:trPr>
          <w:trHeight w:val="140"/>
        </w:trPr>
        <w:tc>
          <w:tcPr>
            <w:tcW w:w="3564" w:type="dxa"/>
            <w:tcBorders>
              <w:top w:val="nil"/>
              <w:bottom w:val="nil"/>
            </w:tcBorders>
          </w:tcPr>
          <w:p w:rsidR="00862F70" w:rsidRPr="0026326D" w:rsidRDefault="00862F70" w:rsidP="00D2420E">
            <w:pPr>
              <w:ind w:left="4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70" w:rsidRPr="00AB79F3" w:rsidTr="00B8574E">
        <w:trPr>
          <w:trHeight w:val="140"/>
        </w:trPr>
        <w:tc>
          <w:tcPr>
            <w:tcW w:w="3564" w:type="dxa"/>
            <w:tcBorders>
              <w:top w:val="nil"/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862F70" w:rsidRPr="0026326D" w:rsidRDefault="00862F70" w:rsidP="00A8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70" w:rsidRPr="00AB79F3" w:rsidTr="00B8574E">
        <w:trPr>
          <w:trHeight w:val="140"/>
        </w:trPr>
        <w:tc>
          <w:tcPr>
            <w:tcW w:w="3564" w:type="dxa"/>
            <w:tcBorders>
              <w:top w:val="nil"/>
              <w:bottom w:val="single" w:sz="4" w:space="0" w:color="auto"/>
            </w:tcBorders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:rsidR="00862F70" w:rsidRPr="00AB79F3" w:rsidRDefault="00862F70" w:rsidP="00A8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F70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862F70" w:rsidRPr="00914939" w:rsidRDefault="00862F70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1.1.1.2.2 (2). Щорічне подання (до 15 лютого) спеціально уповноваженими суб</w:t>
            </w:r>
            <w:r w:rsidR="00D1116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єктами у</w:t>
            </w:r>
            <w:r w:rsidR="00F740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сфері протидії корупції та</w:t>
            </w:r>
            <w:r w:rsidR="00F740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виконавцями Державної антикорупційної програми на</w:t>
            </w:r>
            <w:r w:rsidR="00F740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632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 xml:space="preserve">2025 роки (далі </w:t>
            </w:r>
            <w:r w:rsidR="002632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Програма) до</w:t>
            </w:r>
            <w:r w:rsidR="002632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Національного агентства статистичної інформації про результати своєї роботи з обов</w:t>
            </w:r>
            <w:r w:rsidR="00D1116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>язковим зазначенням даних, визначених у частині другій статті 18</w:t>
            </w:r>
            <w:r w:rsidR="002632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14939">
              <w:rPr>
                <w:rFonts w:ascii="Times New Roman" w:hAnsi="Times New Roman" w:cs="Times New Roman"/>
                <w:sz w:val="24"/>
                <w:szCs w:val="24"/>
              </w:rPr>
              <w:t xml:space="preserve"> Закону</w:t>
            </w:r>
            <w:r w:rsidR="00EA2A47">
              <w:rPr>
                <w:rFonts w:ascii="Times New Roman" w:hAnsi="Times New Roman" w:cs="Times New Roman"/>
                <w:sz w:val="24"/>
                <w:szCs w:val="24"/>
              </w:rPr>
              <w:t xml:space="preserve"> України «Про запобігання корупції»</w:t>
            </w:r>
          </w:p>
        </w:tc>
        <w:tc>
          <w:tcPr>
            <w:tcW w:w="1585" w:type="dxa"/>
          </w:tcPr>
          <w:p w:rsidR="00862F70" w:rsidRPr="00914939" w:rsidRDefault="00862F70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01.02.2024</w:t>
            </w:r>
          </w:p>
        </w:tc>
        <w:tc>
          <w:tcPr>
            <w:tcW w:w="1662" w:type="dxa"/>
          </w:tcPr>
          <w:p w:rsidR="00862F70" w:rsidRPr="00914939" w:rsidRDefault="00862F70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28.02.2025</w:t>
            </w:r>
          </w:p>
        </w:tc>
        <w:tc>
          <w:tcPr>
            <w:tcW w:w="2699" w:type="dxa"/>
          </w:tcPr>
          <w:p w:rsidR="00862F70" w:rsidRPr="00914939" w:rsidRDefault="00862F70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Державне бюро розслідувань</w:t>
            </w:r>
          </w:p>
        </w:tc>
        <w:tc>
          <w:tcPr>
            <w:tcW w:w="1814" w:type="dxa"/>
          </w:tcPr>
          <w:p w:rsidR="00862F70" w:rsidRPr="00914939" w:rsidRDefault="0026326D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</w:t>
            </w:r>
            <w:r w:rsidR="00862F70"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ержавний бюджет</w:t>
            </w:r>
          </w:p>
        </w:tc>
        <w:tc>
          <w:tcPr>
            <w:tcW w:w="1749" w:type="dxa"/>
          </w:tcPr>
          <w:p w:rsidR="00862F70" w:rsidRPr="00914939" w:rsidRDefault="0026326D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</w:t>
            </w:r>
            <w:r w:rsidR="00862F70"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межах встановлених бюджетних призначень на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="00862F70"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відповідний рік</w:t>
            </w:r>
          </w:p>
        </w:tc>
        <w:tc>
          <w:tcPr>
            <w:tcW w:w="2510" w:type="dxa"/>
          </w:tcPr>
          <w:p w:rsidR="00862F70" w:rsidRPr="00914939" w:rsidRDefault="00862F70" w:rsidP="00EA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1) </w:t>
            </w:r>
            <w:r w:rsidR="0026326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</w:t>
            </w: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бсяг статистичної інформації відповідає вимогам статті 18</w:t>
            </w:r>
            <w:r w:rsidRPr="00EA2A4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Закону</w:t>
            </w:r>
            <w:r w:rsidR="0026326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2) статистична інформація надається згідно з Порядком, визначеним Національним агентством, зокрема із</w:t>
            </w:r>
            <w:r w:rsidR="00B2248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дотриманням граничних строків </w:t>
            </w:r>
            <w:r w:rsidR="00B2248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br/>
            </w:r>
            <w:bookmarkStart w:id="1" w:name="_GoBack"/>
            <w:bookmarkEnd w:id="1"/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її</w:t>
            </w:r>
            <w:r w:rsidR="00B2248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1493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надання</w:t>
            </w:r>
          </w:p>
        </w:tc>
      </w:tr>
      <w:tr w:rsidR="00862F70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862F70" w:rsidRPr="007D798F" w:rsidRDefault="00862F70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1.1.1.5.4. Проведення фінансово-економічних розрахунків потреб (зокрема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шляхом розроблення техніко-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економічного обґрунтування створення або модернізації засобів інформатизації), необхідних для здійснення заходів, передбачених у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підпунктах 1.5.3.1.6, 2.2.2.4.8, 2.2.3.1.1, 2.2.3.1.3, 2.2.3.3.3, 2.2.3.3.4, 2.4.2.3.5, 2.4.3.1.7, 2.4.3.1.9, 2.4.3.1.10, 2.5.1.1.1, 2.5.1.1.2, 2.5.1.2.2-2.5.1.4.2, 2.5.10.3.2, 2.5.10.3.3, 2.7.5.2.2, 2.7.7.1.4, 2.7.7.2.4, 3.3.2.3.4, 3.3.3.8.2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(зокрема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 час формування бюджетних пропозицій </w:t>
            </w:r>
            <w:r w:rsidR="00624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2025 рік)</w:t>
            </w:r>
          </w:p>
        </w:tc>
        <w:tc>
          <w:tcPr>
            <w:tcW w:w="1585" w:type="dxa"/>
          </w:tcPr>
          <w:p w:rsidR="00862F70" w:rsidRPr="007D798F" w:rsidRDefault="00381D50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ерезень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662" w:type="dxa"/>
          </w:tcPr>
          <w:p w:rsidR="00862F70" w:rsidRPr="007D798F" w:rsidRDefault="00381D50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2461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рудень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699" w:type="dxa"/>
          </w:tcPr>
          <w:p w:rsidR="00862F70" w:rsidRPr="00914939" w:rsidRDefault="00862F70" w:rsidP="00EA2A4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Національне агентство</w:t>
            </w:r>
            <w:r w:rsidR="00EA2A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Мінфін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Мініфраструктури</w:t>
            </w:r>
            <w:proofErr w:type="spellEnd"/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юст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Мінекономіки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Мінагрополітики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МОН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624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АРМА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Фонд державного майна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Антимонопольний комітет (за згодою)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Держстат</w:t>
            </w:r>
            <w:proofErr w:type="spellEnd"/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Адміністрація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Держспецзв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Держрибагентство</w:t>
            </w:r>
            <w:proofErr w:type="spellEnd"/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ДРС</w:t>
            </w:r>
            <w:r w:rsidR="00381D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Агентство відновлення</w:t>
            </w:r>
            <w:r w:rsidR="00624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НКЦПФР</w:t>
            </w:r>
          </w:p>
        </w:tc>
        <w:tc>
          <w:tcPr>
            <w:tcW w:w="1814" w:type="dxa"/>
          </w:tcPr>
          <w:p w:rsidR="00862F70" w:rsidRPr="007D798F" w:rsidRDefault="00381D50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862F70" w:rsidRPr="007D798F" w:rsidRDefault="00381D50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2464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862F70" w:rsidRPr="00914939" w:rsidRDefault="00381D50" w:rsidP="00EA2A4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</w:t>
            </w:r>
            <w:r w:rsidR="00862F70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інансово-економічні розрахунки потреб проведено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1.1.3.3.5. Розроблення та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подання Кабінетові Міністрів України </w:t>
            </w:r>
            <w:proofErr w:type="spellStart"/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законів щодо вдосконалення галузевого законодавства, що регулює суспільні відносини у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сферах,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визначених розділом 3 Антикорупційної стратегії, на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основі результатів правового моніторингу, аналітичних досліджень, зазначених у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підпункті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1.1.3.3.3, та/або результатів антикорупційної експертизи чинних нормативно-правових актів, проведеної на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виконання заходу, зазначеного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підпункті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1.1.3.3.4</w:t>
            </w:r>
          </w:p>
        </w:tc>
        <w:tc>
          <w:tcPr>
            <w:tcW w:w="1585" w:type="dxa"/>
          </w:tcPr>
          <w:p w:rsidR="00AF14A1" w:rsidRPr="007D798F" w:rsidRDefault="00D11167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ерезень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2024 р.</w:t>
            </w:r>
          </w:p>
        </w:tc>
        <w:tc>
          <w:tcPr>
            <w:tcW w:w="1662" w:type="dxa"/>
          </w:tcPr>
          <w:p w:rsidR="00AF14A1" w:rsidRPr="007D798F" w:rsidRDefault="00D11167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2847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истопад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Національне агентство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юст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МВС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Національна поліція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Мінекономіки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Мінфін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Мінагрополітики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МКІП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Міноборони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МОЗ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МОН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</w:p>
        </w:tc>
        <w:tc>
          <w:tcPr>
            <w:tcW w:w="1814" w:type="dxa"/>
          </w:tcPr>
          <w:p w:rsidR="00AF14A1" w:rsidRPr="007D798F" w:rsidRDefault="00D11167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2849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D11167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D11167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кти</w:t>
            </w:r>
            <w:proofErr w:type="spellEnd"/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законів, подано до Верховної Ради України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1.3.2.3.1. Розроблення та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подання Кабінетові Міністрів України </w:t>
            </w:r>
            <w:proofErr w:type="spellStart"/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spellEnd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закону, нормами якого вдосконалено: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1) правила поводження з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подарунком чи неправомірною вигодою, зокрема отриманими у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нематеріальному вигляді;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2) особливості поводження з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неправомірною вигодою або подарунком, які отримані у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нематеріальному вигляді</w:t>
            </w:r>
          </w:p>
        </w:tc>
        <w:tc>
          <w:tcPr>
            <w:tcW w:w="1585" w:type="dxa"/>
          </w:tcPr>
          <w:p w:rsidR="00AF14A1" w:rsidRPr="007D798F" w:rsidRDefault="00A83A6D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391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ерпень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1662" w:type="dxa"/>
          </w:tcPr>
          <w:p w:rsidR="00AF14A1" w:rsidRPr="007D798F" w:rsidRDefault="00A83A6D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3911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ютий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3912"/>
            <w:bookmarkEnd w:id="8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Національне агентство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</w:p>
        </w:tc>
        <w:tc>
          <w:tcPr>
            <w:tcW w:w="1814" w:type="dxa"/>
          </w:tcPr>
          <w:p w:rsidR="00AF14A1" w:rsidRPr="007D798F" w:rsidRDefault="00A83A6D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3913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A83A6D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3914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 (КПКВК 6331010)</w:t>
            </w:r>
          </w:p>
        </w:tc>
        <w:tc>
          <w:tcPr>
            <w:tcW w:w="2510" w:type="dxa"/>
          </w:tcPr>
          <w:p w:rsidR="00AF14A1" w:rsidRPr="007D798F" w:rsidRDefault="00A83A6D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3915"/>
            <w:bookmarkEnd w:id="1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</w:t>
            </w:r>
            <w:proofErr w:type="spellEnd"/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 подано до Верховної Ради України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1.4.3.5.5. Проведення консультацій, розроблення технічних вимог системи, зазначеної у підпункті 1.4.3.5.4</w:t>
            </w:r>
          </w:p>
        </w:tc>
        <w:tc>
          <w:tcPr>
            <w:tcW w:w="1585" w:type="dxa"/>
          </w:tcPr>
          <w:p w:rsidR="00AF14A1" w:rsidRPr="007D798F" w:rsidRDefault="001A6243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4245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истопад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1662" w:type="dxa"/>
          </w:tcPr>
          <w:p w:rsidR="00AF14A1" w:rsidRPr="007D798F" w:rsidRDefault="001A6243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4246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2024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4247"/>
            <w:bookmarkEnd w:id="14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Національне агентство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Адміністрація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Держприкордонслужб</w:t>
            </w:r>
            <w:r w:rsidR="00023A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proofErr w:type="spellEnd"/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ДПС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Міноборони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Адміністрація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Держспецзв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Державне бюро розслідувань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Управління державної охорони (за згодою)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юст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Служба зовнішньої розвідки (за згодою)</w:t>
            </w:r>
            <w:r w:rsidR="001A62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 (за згодою)</w:t>
            </w:r>
          </w:p>
        </w:tc>
        <w:tc>
          <w:tcPr>
            <w:tcW w:w="1814" w:type="dxa"/>
          </w:tcPr>
          <w:p w:rsidR="00AF14A1" w:rsidRPr="007D798F" w:rsidRDefault="001A6243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4248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1A6243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4249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 (КПКВК 6331010)</w:t>
            </w:r>
          </w:p>
        </w:tc>
        <w:tc>
          <w:tcPr>
            <w:tcW w:w="2510" w:type="dxa"/>
          </w:tcPr>
          <w:p w:rsidR="00AF14A1" w:rsidRPr="007D798F" w:rsidRDefault="001A6243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4250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ехнічні вимоги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системи затверджено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1.4.3.5.6. У разі відповідності вимогам власної безпеки впроваджено в експлуатацію систему (системи), яка (які) забезпечує (забезпечують) проведення логічного та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арифметичного контролю та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контролю щодо правильності та повноти заповнення відповідних декларацій в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електронному вигляді</w:t>
            </w:r>
          </w:p>
        </w:tc>
        <w:tc>
          <w:tcPr>
            <w:tcW w:w="1585" w:type="dxa"/>
          </w:tcPr>
          <w:p w:rsidR="00AF14A1" w:rsidRPr="007D798F" w:rsidRDefault="004E106B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4253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</w:t>
            </w:r>
          </w:p>
        </w:tc>
        <w:tc>
          <w:tcPr>
            <w:tcW w:w="1662" w:type="dxa"/>
          </w:tcPr>
          <w:p w:rsidR="00AF14A1" w:rsidRPr="007D798F" w:rsidRDefault="004E106B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4254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р.,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але не раніше ніж через 90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днів з дня припинення чи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скасування воєнного стану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4255"/>
            <w:bookmarkEnd w:id="20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Національне агентство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Адміністрація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Держприкордонслужби</w:t>
            </w:r>
            <w:proofErr w:type="spellEnd"/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ДПС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Міноборони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Адміністрація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Держспецзв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Управління державної охорони (за згодою)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юст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Служба зовнішньої розвідки (за згодою)</w:t>
            </w:r>
            <w:r w:rsidR="005276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 (за згодою)</w:t>
            </w:r>
          </w:p>
        </w:tc>
        <w:tc>
          <w:tcPr>
            <w:tcW w:w="1814" w:type="dxa"/>
          </w:tcPr>
          <w:p w:rsidR="00AF14A1" w:rsidRPr="007D798F" w:rsidRDefault="00B7560A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4256"/>
            <w:bookmarkEnd w:id="2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5276C5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" w:name="4257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 </w:t>
            </w:r>
          </w:p>
        </w:tc>
        <w:tc>
          <w:tcPr>
            <w:tcW w:w="2510" w:type="dxa"/>
          </w:tcPr>
          <w:p w:rsidR="00AF14A1" w:rsidRPr="007D798F" w:rsidRDefault="005276C5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4258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истему введено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промислову експлуатацію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3.3.2.2.5. Створення та поетапне впровадження інформаційно-комунікаційної системи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досудового розслідування, яка застосовується всіма органами прокуратури, органами досудового розслідування у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кожному кримінальному провадженні</w:t>
            </w:r>
          </w:p>
        </w:tc>
        <w:tc>
          <w:tcPr>
            <w:tcW w:w="1585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" w:name="10535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Ж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овтень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662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10536"/>
            <w:bookmarkEnd w:id="2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ервень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10537"/>
            <w:bookmarkEnd w:id="26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Генерального прокурора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Національне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антикорупційне бюро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Вища рада правосуддя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ДСА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Рада суддів (за згодою)</w:t>
            </w:r>
          </w:p>
        </w:tc>
        <w:tc>
          <w:tcPr>
            <w:tcW w:w="1814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10538"/>
            <w:bookmarkEnd w:id="2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ержавний бюджет та/або кошти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міжнародної технічної допомоги</w:t>
            </w:r>
          </w:p>
        </w:tc>
        <w:tc>
          <w:tcPr>
            <w:tcW w:w="1749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10539"/>
            <w:bookmarkEnd w:id="2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 та/або коштів міжнародної технічної допомоги</w:t>
            </w:r>
          </w:p>
        </w:tc>
        <w:tc>
          <w:tcPr>
            <w:tcW w:w="2510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10540"/>
            <w:bookmarkEnd w:id="2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творено інформаційно-комунікаційну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систему досудового розслідування, яка застосовується всіма органами прокуратури, органами досудового розслідування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кожному кримінальному провадженні, розпочато її поетапне впровадження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3.3.2.2.6. Розроблення та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Порядку функціонування інформаційно-комунікаційної системи досудового розслідування, яка застосовується усіма органами прокуратури, органами досудового розслідування у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кожному кримінальному провадженні</w:t>
            </w:r>
          </w:p>
        </w:tc>
        <w:tc>
          <w:tcPr>
            <w:tcW w:w="1585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10543"/>
            <w:bookmarkEnd w:id="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ерпень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1662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10544"/>
            <w:bookmarkEnd w:id="3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ервень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10545"/>
            <w:bookmarkEnd w:id="32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Генерального прокурора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Національне антикорупційне бюро 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r w:rsidR="00023A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Вища рада правосуддя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ДСА (за згодою)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Рада суддів (за згодою)</w:t>
            </w:r>
          </w:p>
        </w:tc>
        <w:tc>
          <w:tcPr>
            <w:tcW w:w="1814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10546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60082F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10547"/>
            <w:bookmarkEnd w:id="3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10548"/>
            <w:bookmarkEnd w:id="35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функціонування інформаційно-комунікаційної системи досудового розслідування, яка застосовується усіма органами прокуратури, органами досудового розслідування у</w:t>
            </w:r>
            <w:r w:rsidR="006008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кожному кримінальному провадженні, набрав чинності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3.3.2.2.8. Здійснення навчальних заходів (тренінгів або дистанційних курсів) для суддів, прокурорів та слідчих щодо застосування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інформаційно-комунікаційної системи досудового розслідування у кримінальних провадженнях</w:t>
            </w:r>
          </w:p>
        </w:tc>
        <w:tc>
          <w:tcPr>
            <w:tcW w:w="1585" w:type="dxa"/>
          </w:tcPr>
          <w:p w:rsidR="00AF14A1" w:rsidRPr="007D798F" w:rsidRDefault="00A40D9A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10559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 місяці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дня набрання чинності порядком,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зазначеним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підпункті 3.3.2.2.6</w:t>
            </w:r>
          </w:p>
        </w:tc>
        <w:tc>
          <w:tcPr>
            <w:tcW w:w="1662" w:type="dxa"/>
          </w:tcPr>
          <w:p w:rsidR="00AF14A1" w:rsidRPr="007D798F" w:rsidRDefault="00A40D9A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10560"/>
            <w:bookmarkEnd w:id="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ість місяців з дня набрання чинності порядком,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зазначеним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підпункті 3.3.2.2.6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10561"/>
            <w:bookmarkEnd w:id="38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Національна школа суддів (за згодою)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Тренінговий центр прокурорів (за згодою)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Національне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антикорупційне бюро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згодою)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A40D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</w:t>
            </w:r>
          </w:p>
        </w:tc>
        <w:tc>
          <w:tcPr>
            <w:tcW w:w="1814" w:type="dxa"/>
          </w:tcPr>
          <w:p w:rsidR="00AF14A1" w:rsidRPr="007D798F" w:rsidRDefault="00A40D9A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10562"/>
            <w:bookmarkEnd w:id="3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ержавний бюджет та/або кошти міжнародної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технічної допомоги</w:t>
            </w:r>
          </w:p>
        </w:tc>
        <w:tc>
          <w:tcPr>
            <w:tcW w:w="1749" w:type="dxa"/>
          </w:tcPr>
          <w:p w:rsidR="00AF14A1" w:rsidRPr="007D798F" w:rsidRDefault="00A40D9A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10563"/>
            <w:bookmarkEnd w:id="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відповідний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рік та/або коштів міжнародної технічної допомоги</w:t>
            </w:r>
          </w:p>
        </w:tc>
        <w:tc>
          <w:tcPr>
            <w:tcW w:w="2510" w:type="dxa"/>
          </w:tcPr>
          <w:p w:rsidR="00AF14A1" w:rsidRPr="007D798F" w:rsidRDefault="00A40D9A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10564"/>
            <w:bookmarkEnd w:id="4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роведено не менше 10 тренінгів для суддів, прокурорів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слідчих, у кожному з яких взяло участь 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 25 осіб, та/або дистанційний курс із зазначеної тематики пройшло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 1000 осіб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3.3.2.3.2. Розроблення т</w:t>
            </w:r>
            <w:r w:rsidR="00F74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узгодження технічних вимог до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системи автономного зняття інформації з електронних комунікаційних мереж постачальників електронних комунікаційних послуг</w:t>
            </w:r>
          </w:p>
        </w:tc>
        <w:tc>
          <w:tcPr>
            <w:tcW w:w="1585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10576"/>
            <w:bookmarkEnd w:id="4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1662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10577"/>
            <w:bookmarkEnd w:id="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ересень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10578"/>
            <w:bookmarkEnd w:id="44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СБУ (за згодою)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Адміністрація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Держспецзв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</w:p>
        </w:tc>
        <w:tc>
          <w:tcPr>
            <w:tcW w:w="1814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10579"/>
            <w:bookmarkEnd w:id="4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10580"/>
            <w:bookmarkEnd w:id="4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10581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ехнічні вимоги узгоджено з усіма органами досудового розслідування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3.3.2.3.3. Розроблення та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узгодження технічного рішення щодо побудови системи автономного зняття інформації з електронних комунікаційних мереж постачальників електронних комунікаційних послуг</w:t>
            </w:r>
          </w:p>
        </w:tc>
        <w:tc>
          <w:tcPr>
            <w:tcW w:w="1585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10584"/>
            <w:bookmarkEnd w:id="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овтень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1662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10585"/>
            <w:bookmarkEnd w:id="4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2023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10586"/>
            <w:bookmarkEnd w:id="50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СБУ (за згодою)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857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Адміністрація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Держспецзв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</w:p>
        </w:tc>
        <w:tc>
          <w:tcPr>
            <w:tcW w:w="1814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10587"/>
            <w:bookmarkEnd w:id="5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10588"/>
            <w:bookmarkEnd w:id="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B8574E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10589"/>
            <w:bookmarkEnd w:id="5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ехнічне рішення узгоджено з усіма органами досудового розслідування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3.3.2.3.4. Реалізація технічного рішення та впровадження системи автономного зняття інформації з електронних комунікаційних мереж постачальників електронних комунікаційних послуг</w:t>
            </w:r>
          </w:p>
        </w:tc>
        <w:tc>
          <w:tcPr>
            <w:tcW w:w="1585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10592"/>
            <w:bookmarkEnd w:id="5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2024 р.</w:t>
            </w:r>
          </w:p>
        </w:tc>
        <w:tc>
          <w:tcPr>
            <w:tcW w:w="1662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10593"/>
            <w:bookmarkEnd w:id="5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2024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10594"/>
            <w:bookmarkEnd w:id="56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СБУ (за 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Адміністрація </w:t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Держспецзв</w:t>
            </w:r>
            <w:r w:rsidR="00D111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</w:p>
        </w:tc>
        <w:tc>
          <w:tcPr>
            <w:tcW w:w="1814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10595"/>
            <w:bookmarkEnd w:id="5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10596"/>
            <w:bookmarkEnd w:id="5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10597"/>
            <w:bookmarkEnd w:id="5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истему впроваджено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3.3.3.8.3. Розроблення та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Положення про електронну захищену систему обміну інформацією між АРМА, органами прокуратури та органами досудового розслідування для оперативного надсилання запитів до АРМА та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оперативного інформування про виявлення активів, яких стосувався запит, виявлення активів, які підлягають арешту, тощо</w:t>
            </w:r>
          </w:p>
        </w:tc>
        <w:tc>
          <w:tcPr>
            <w:tcW w:w="1585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10755"/>
            <w:bookmarkEnd w:id="6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овтень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</w:t>
            </w:r>
          </w:p>
        </w:tc>
        <w:tc>
          <w:tcPr>
            <w:tcW w:w="1662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10756"/>
            <w:bookmarkEnd w:id="6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2025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10757"/>
            <w:bookmarkEnd w:id="62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</w:p>
        </w:tc>
        <w:tc>
          <w:tcPr>
            <w:tcW w:w="1814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" w:name="10758"/>
            <w:bookmarkEnd w:id="6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10759"/>
            <w:bookmarkEnd w:id="6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10760"/>
            <w:bookmarkEnd w:id="65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про електронну захищену систему обміну інформацією між АРМА, органами прокуратури та органами досудового розслідування для оперативного надсилання запитів до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АРМА та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оперативного інформування про виявлення активів, яких стосувався запит, виявлення активів, які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підлягають арешту, набрало чинності</w:t>
            </w:r>
          </w:p>
        </w:tc>
      </w:tr>
      <w:tr w:rsidR="00AF14A1" w:rsidRPr="00914939" w:rsidTr="00B8574E">
        <w:tc>
          <w:tcPr>
            <w:tcW w:w="3564" w:type="dxa"/>
            <w:tcBorders>
              <w:top w:val="single" w:sz="4" w:space="0" w:color="auto"/>
            </w:tcBorders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3.3.3.11.2. Розроблення та подання Кабінетові Міністрів України </w:t>
            </w:r>
            <w:proofErr w:type="spellStart"/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spellEnd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закону, яким встановлено, що визнання майна таким, що одержане злочинним шляхом, для цілей статті 209 Кримінального кодексу України здійснюється виходячи з фактичних обставин і не потребує рішення суду, винесеного в Україні чи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її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межами, яким встановлено факт вчинення злочину, внаслідок якого одержане таке майно або притягнуто особу до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кримінальної відповідальності за вчинення такого злочину</w:t>
            </w:r>
          </w:p>
        </w:tc>
        <w:tc>
          <w:tcPr>
            <w:tcW w:w="1585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10814"/>
            <w:bookmarkEnd w:id="6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2024 р.</w:t>
            </w:r>
          </w:p>
        </w:tc>
        <w:tc>
          <w:tcPr>
            <w:tcW w:w="1662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10815"/>
            <w:bookmarkEnd w:id="6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рудень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2024 р.</w:t>
            </w:r>
          </w:p>
        </w:tc>
        <w:tc>
          <w:tcPr>
            <w:tcW w:w="2699" w:type="dxa"/>
          </w:tcPr>
          <w:p w:rsidR="00AF14A1" w:rsidRPr="007D798F" w:rsidRDefault="00AF14A1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10816"/>
            <w:bookmarkEnd w:id="68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Національне агентство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Офіс Генерального прокурора (за 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Національне антикорупційне бюро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БЕБ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Державне бюро розслідувань (за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згодою)</w:t>
            </w:r>
            <w:r w:rsidR="00023A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поліція</w:t>
            </w:r>
            <w:r w:rsidR="00023A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23A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СБУ (за згодою)</w:t>
            </w:r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Держфінмоніторинг</w:t>
            </w:r>
            <w:proofErr w:type="spellEnd"/>
            <w:r w:rsidR="00303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Мінфін</w:t>
            </w:r>
          </w:p>
        </w:tc>
        <w:tc>
          <w:tcPr>
            <w:tcW w:w="1814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10817"/>
            <w:bookmarkEnd w:id="6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ержавний бюджет</w:t>
            </w:r>
          </w:p>
        </w:tc>
        <w:tc>
          <w:tcPr>
            <w:tcW w:w="1749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10818"/>
            <w:bookmarkEnd w:id="7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межах встановлених бюджетних призначень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рік</w:t>
            </w:r>
          </w:p>
        </w:tc>
        <w:tc>
          <w:tcPr>
            <w:tcW w:w="2510" w:type="dxa"/>
          </w:tcPr>
          <w:p w:rsidR="00AF14A1" w:rsidRPr="007D798F" w:rsidRDefault="0030377C" w:rsidP="00EA2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" w:name="10819"/>
            <w:bookmarkEnd w:id="7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A83A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роєкт</w:t>
            </w:r>
            <w:proofErr w:type="spellEnd"/>
            <w:r w:rsidR="00AF14A1" w:rsidRPr="007D79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 подано до Верховної Ради України</w:t>
            </w:r>
          </w:p>
        </w:tc>
      </w:tr>
    </w:tbl>
    <w:p w:rsidR="00862F70" w:rsidRPr="00862F70" w:rsidRDefault="00862F70">
      <w:pPr>
        <w:rPr>
          <w:rFonts w:ascii="Times New Roman" w:hAnsi="Times New Roman" w:cs="Times New Roman"/>
          <w:sz w:val="28"/>
        </w:rPr>
      </w:pPr>
    </w:p>
    <w:p w:rsidR="00862F70" w:rsidRDefault="00862F70">
      <w:pPr>
        <w:rPr>
          <w:rFonts w:ascii="Times New Roman" w:hAnsi="Times New Roman" w:cs="Times New Roman"/>
          <w:sz w:val="28"/>
        </w:rPr>
      </w:pPr>
    </w:p>
    <w:sectPr w:rsidR="00862F70" w:rsidSect="0026326D">
      <w:headerReference w:type="default" r:id="rId6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3DB" w:rsidRDefault="006713DB" w:rsidP="006713DB">
      <w:pPr>
        <w:spacing w:after="0" w:line="240" w:lineRule="auto"/>
      </w:pPr>
      <w:r>
        <w:separator/>
      </w:r>
    </w:p>
  </w:endnote>
  <w:endnote w:type="continuationSeparator" w:id="0">
    <w:p w:rsidR="006713DB" w:rsidRDefault="006713DB" w:rsidP="0067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3DB" w:rsidRDefault="006713DB" w:rsidP="006713DB">
      <w:pPr>
        <w:spacing w:after="0" w:line="240" w:lineRule="auto"/>
      </w:pPr>
      <w:r>
        <w:separator/>
      </w:r>
    </w:p>
  </w:footnote>
  <w:footnote w:type="continuationSeparator" w:id="0">
    <w:p w:rsidR="006713DB" w:rsidRDefault="006713DB" w:rsidP="0067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576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713DB" w:rsidRPr="006713DB" w:rsidRDefault="006713D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713DB">
          <w:rPr>
            <w:rFonts w:ascii="Times New Roman" w:hAnsi="Times New Roman" w:cs="Times New Roman"/>
            <w:sz w:val="24"/>
          </w:rPr>
          <w:fldChar w:fldCharType="begin"/>
        </w:r>
        <w:r w:rsidRPr="006713DB">
          <w:rPr>
            <w:rFonts w:ascii="Times New Roman" w:hAnsi="Times New Roman" w:cs="Times New Roman"/>
            <w:sz w:val="24"/>
          </w:rPr>
          <w:instrText>PAGE   \* MERGEFORMAT</w:instrText>
        </w:r>
        <w:r w:rsidRPr="006713DB">
          <w:rPr>
            <w:rFonts w:ascii="Times New Roman" w:hAnsi="Times New Roman" w:cs="Times New Roman"/>
            <w:sz w:val="24"/>
          </w:rPr>
          <w:fldChar w:fldCharType="separate"/>
        </w:r>
        <w:r w:rsidRPr="006713DB">
          <w:rPr>
            <w:rFonts w:ascii="Times New Roman" w:hAnsi="Times New Roman" w:cs="Times New Roman"/>
            <w:sz w:val="24"/>
          </w:rPr>
          <w:t>2</w:t>
        </w:r>
        <w:r w:rsidRPr="006713D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713DB" w:rsidRDefault="006713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70"/>
    <w:rsid w:val="00023A61"/>
    <w:rsid w:val="001A6243"/>
    <w:rsid w:val="00230B7C"/>
    <w:rsid w:val="0026326D"/>
    <w:rsid w:val="0030377C"/>
    <w:rsid w:val="00381D50"/>
    <w:rsid w:val="00454D70"/>
    <w:rsid w:val="004E106B"/>
    <w:rsid w:val="005276C5"/>
    <w:rsid w:val="0060082F"/>
    <w:rsid w:val="00624266"/>
    <w:rsid w:val="006713DB"/>
    <w:rsid w:val="006A4254"/>
    <w:rsid w:val="006A6D97"/>
    <w:rsid w:val="006C69AC"/>
    <w:rsid w:val="00862F70"/>
    <w:rsid w:val="009C30CB"/>
    <w:rsid w:val="00A40D9A"/>
    <w:rsid w:val="00A4187D"/>
    <w:rsid w:val="00A61F9D"/>
    <w:rsid w:val="00A62F30"/>
    <w:rsid w:val="00A83A6D"/>
    <w:rsid w:val="00AF14A1"/>
    <w:rsid w:val="00B2248F"/>
    <w:rsid w:val="00B7560A"/>
    <w:rsid w:val="00B8574E"/>
    <w:rsid w:val="00BE1197"/>
    <w:rsid w:val="00C32AE0"/>
    <w:rsid w:val="00D11167"/>
    <w:rsid w:val="00D2420E"/>
    <w:rsid w:val="00EA2A47"/>
    <w:rsid w:val="00F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1BCE"/>
  <w15:chartTrackingRefBased/>
  <w15:docId w15:val="{523459DA-7FFA-4523-9EEA-8B3C1D4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3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713DB"/>
  </w:style>
  <w:style w:type="paragraph" w:styleId="a6">
    <w:name w:val="footer"/>
    <w:basedOn w:val="a"/>
    <w:link w:val="a7"/>
    <w:uiPriority w:val="99"/>
    <w:unhideWhenUsed/>
    <w:rsid w:val="006713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713DB"/>
  </w:style>
  <w:style w:type="paragraph" w:styleId="a8">
    <w:name w:val="Balloon Text"/>
    <w:basedOn w:val="a"/>
    <w:link w:val="a9"/>
    <w:uiPriority w:val="99"/>
    <w:semiHidden/>
    <w:unhideWhenUsed/>
    <w:rsid w:val="0045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54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7188</Words>
  <Characters>4098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Вікторович Піхало</dc:creator>
  <cp:keywords/>
  <dc:description/>
  <cp:lastModifiedBy>Олексій Вікторович Піхало</cp:lastModifiedBy>
  <cp:revision>29</cp:revision>
  <cp:lastPrinted>2026-02-05T15:22:00Z</cp:lastPrinted>
  <dcterms:created xsi:type="dcterms:W3CDTF">2026-01-15T15:06:00Z</dcterms:created>
  <dcterms:modified xsi:type="dcterms:W3CDTF">2026-02-05T15:23:00Z</dcterms:modified>
</cp:coreProperties>
</file>