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466.0629921259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ПОЯСНЮВАЛЬНА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466.0629921259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проекту наказу Національного агентства з питань запобігання корупції «Про затвердження Порядку здійснення моніторингу дотримання вимог законодавства з питань лобіювання»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466.0629921259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7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Мета</w:t>
      </w:r>
    </w:p>
    <w:p w:rsidR="00000000" w:rsidDel="00000000" w:rsidP="00000000" w:rsidRDefault="00000000" w:rsidRPr="00000000" w14:paraId="00000005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Метою проекту наказу Національного агентства з питань запобігання корупції «Про затвердження Порядку здійснення моніторингу дотримання вимог законодавства з питань лобіювання» (далі – проект наказу) є унормування окремих питань здійснення Національним агентством моніторингу дотримання вимог законодавства з питань лобіювання.  </w:t>
      </w:r>
    </w:p>
    <w:p w:rsidR="00000000" w:rsidDel="00000000" w:rsidP="00000000" w:rsidRDefault="00000000" w:rsidRPr="00000000" w14:paraId="00000006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7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Обґрунтування необхідності прийняття акта</w:t>
      </w:r>
    </w:p>
    <w:p w:rsidR="00000000" w:rsidDel="00000000" w:rsidP="00000000" w:rsidRDefault="00000000" w:rsidRPr="00000000" w14:paraId="00000008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23.02.2024 Верховною Радою України прийнято Закон України «Про лобіювання» (далі – Закон), який набрав чинності 14.03.2024.</w:t>
      </w:r>
    </w:p>
    <w:p w:rsidR="00000000" w:rsidDel="00000000" w:rsidP="00000000" w:rsidRDefault="00000000" w:rsidRPr="00000000" w14:paraId="00000009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частини першої статті 18 Закону моніторинг дотримання вимог законодавства з питань лобіювання, зокрема щодо достовірності відомостей, що подаються суб’єктами лобіювання до Реєстру прозорості, а також достовірності відомостей, зазначених суб’єктами лобіювання у звітах, здійснює Національне агентство у межах повноважень та на підставах, визначених Законом та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Законом України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«Про запобігання корупції».</w:t>
      </w:r>
    </w:p>
    <w:p w:rsidR="00000000" w:rsidDel="00000000" w:rsidP="00000000" w:rsidRDefault="00000000" w:rsidRPr="00000000" w14:paraId="0000000A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Згідно з підпунктом 4 пункту 4 розділу III «Прикінцеві положення» Закону вносяться зміни до частини першої статті 11 Закону України «Про запобігання корупції», якими повноваження Національного агентства доповнюються  здійсненням моніторингу дотримання вимог законодавства з питань лобіювання. </w:t>
      </w:r>
    </w:p>
    <w:p w:rsidR="00000000" w:rsidDel="00000000" w:rsidP="00000000" w:rsidRDefault="00000000" w:rsidRPr="00000000" w14:paraId="0000000B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заходу 5 стратегічного результату 1 пункту д) глави 2.2. «Запобігання корупції» розділу II «Боротьба з корупцією» Дорожньої карти з питань верховенства права, схваленої розпорядженням Кабінету Міністрів України від 14.05.2025 № 475 (далі – Розпорядження), Національне агентство має визначити процедури моніторингу та контролю за дотриманням нормативно-правових актів щодо лобіювання для забезпечення правової визначеності, оптимізації та прозорості результатів таких процедур</w:t>
      </w:r>
    </w:p>
    <w:p w:rsidR="00000000" w:rsidDel="00000000" w:rsidP="00000000" w:rsidRDefault="00000000" w:rsidRPr="00000000" w14:paraId="0000000C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цього заходом 1 стратегічного результату 1 підрозділу III.A «Прозорість та підзвітність» розділу III «Функціонування парламентів у демократичній системі» Дорожньої карти з питань функціонування демократичних інституцій, схваленої Розпорядженням, передбачено здійснення реалізації Закону шляхом розробки та прийняття підзаконних нормативно-правових актів, необхідних для реалізації Закону. </w:t>
      </w:r>
    </w:p>
    <w:p w:rsidR="00000000" w:rsidDel="00000000" w:rsidP="00000000" w:rsidRDefault="00000000" w:rsidRPr="00000000" w14:paraId="0000000D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огляду на зазначене, з метою унормування згаданого процесу та на виконання зобов’язань передбачених зазначеними дорожніми картами, Національним агентством розроблено проект наказу. </w:t>
      </w:r>
    </w:p>
    <w:p w:rsidR="00000000" w:rsidDel="00000000" w:rsidP="00000000" w:rsidRDefault="00000000" w:rsidRPr="00000000" w14:paraId="0000000E">
      <w:pPr>
        <w:spacing w:line="240" w:lineRule="auto"/>
        <w:ind w:left="570" w:right="-466.0629921259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57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Основні положення проекту акта</w:t>
      </w:r>
    </w:p>
    <w:p w:rsidR="00000000" w:rsidDel="00000000" w:rsidP="00000000" w:rsidRDefault="00000000" w:rsidRPr="00000000" w14:paraId="00000010">
      <w:pPr>
        <w:spacing w:line="240" w:lineRule="auto"/>
        <w:ind w:right="-466.062992125984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Проектом наказу пропонується визначити:</w:t>
      </w:r>
    </w:p>
    <w:p w:rsidR="00000000" w:rsidDel="00000000" w:rsidP="00000000" w:rsidRDefault="00000000" w:rsidRPr="00000000" w14:paraId="00000011">
      <w:pPr>
        <w:spacing w:line="240" w:lineRule="auto"/>
        <w:ind w:right="-466.062992125984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загальні положення здійснення моніторингу у сфері лобіювання;</w:t>
      </w:r>
    </w:p>
    <w:p w:rsidR="00000000" w:rsidDel="00000000" w:rsidP="00000000" w:rsidRDefault="00000000" w:rsidRPr="00000000" w14:paraId="00000012">
      <w:pPr>
        <w:spacing w:line="240" w:lineRule="auto"/>
        <w:ind w:right="-466.062992125984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порядок розгляду повідомлення про порушення законодавства у сфері лобіювання;</w:t>
      </w:r>
    </w:p>
    <w:p w:rsidR="00000000" w:rsidDel="00000000" w:rsidP="00000000" w:rsidRDefault="00000000" w:rsidRPr="00000000" w14:paraId="00000013">
      <w:pPr>
        <w:spacing w:line="240" w:lineRule="auto"/>
        <w:ind w:right="-466.062992125984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механізм проведення моніторингу Національним агентством;</w:t>
      </w:r>
    </w:p>
    <w:p w:rsidR="00000000" w:rsidDel="00000000" w:rsidP="00000000" w:rsidRDefault="00000000" w:rsidRPr="00000000" w14:paraId="00000014">
      <w:pPr>
        <w:spacing w:line="240" w:lineRule="auto"/>
        <w:ind w:right="-466.062992125984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процедуру завершення проведення моніторингу.</w:t>
      </w:r>
    </w:p>
    <w:p w:rsidR="00000000" w:rsidDel="00000000" w:rsidP="00000000" w:rsidRDefault="00000000" w:rsidRPr="00000000" w14:paraId="00000015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Правові аспекти</w:t>
      </w:r>
    </w:p>
    <w:p w:rsidR="00000000" w:rsidDel="00000000" w:rsidP="00000000" w:rsidRDefault="00000000" w:rsidRPr="00000000" w14:paraId="00000017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Правовою підставою для розроблення проекту наказу є Закон та Розпорядження.</w:t>
      </w:r>
    </w:p>
    <w:p w:rsidR="00000000" w:rsidDel="00000000" w:rsidP="00000000" w:rsidRDefault="00000000" w:rsidRPr="00000000" w14:paraId="00000018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Правове регулювання у зазначеній сфері здійснюється відповідно до Закону та Закону України «Про запобігання корупції». </w:t>
      </w:r>
    </w:p>
    <w:p w:rsidR="00000000" w:rsidDel="00000000" w:rsidP="00000000" w:rsidRDefault="00000000" w:rsidRPr="00000000" w14:paraId="00000019">
      <w:pPr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57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Фінансово-економічне обґрунтування</w:t>
      </w:r>
    </w:p>
    <w:p w:rsidR="00000000" w:rsidDel="00000000" w:rsidP="00000000" w:rsidRDefault="00000000" w:rsidRPr="00000000" w14:paraId="0000001B">
      <w:pPr>
        <w:spacing w:line="240" w:lineRule="auto"/>
        <w:ind w:right="-466.062992125984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Реалізація акта не потребує додаткового фінансування з державного або місцевого бюджету.</w:t>
      </w:r>
    </w:p>
    <w:p w:rsidR="00000000" w:rsidDel="00000000" w:rsidP="00000000" w:rsidRDefault="00000000" w:rsidRPr="00000000" w14:paraId="0000001C">
      <w:pPr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570" w:right="-466.0629921259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Позиція заінтересованих сторін</w:t>
      </w:r>
    </w:p>
    <w:p w:rsidR="00000000" w:rsidDel="00000000" w:rsidP="00000000" w:rsidRDefault="00000000" w:rsidRPr="00000000" w14:paraId="0000001E">
      <w:pPr>
        <w:spacing w:after="120"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сфери наукової та науково-технічної діяльності.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Оцінка відповідності</w:t>
      </w:r>
    </w:p>
    <w:p w:rsidR="00000000" w:rsidDel="00000000" w:rsidP="00000000" w:rsidRDefault="00000000" w:rsidRPr="00000000" w14:paraId="00000021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наказу не містить положень, що стосуються зобов’язань України у сфері європейської інтеграції, разом з тим спрямований на виконання заходів передбачених згаданими дорожніми картами.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наказу не містить положень, що стосуються прав та свобод, гарантованих Конвенцією про захист прав людини і основоположних свобод, а також впливають на забезпечення рівних прав та можливостей жінок і чоловіків.</w:t>
      </w:r>
    </w:p>
    <w:p w:rsidR="00000000" w:rsidDel="00000000" w:rsidP="00000000" w:rsidRDefault="00000000" w:rsidRPr="00000000" w14:paraId="00000023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проекті наказу відсутні положення, що створюють підстави для дискримінації.</w:t>
      </w:r>
    </w:p>
    <w:p w:rsidR="00000000" w:rsidDel="00000000" w:rsidP="00000000" w:rsidRDefault="00000000" w:rsidRPr="00000000" w14:paraId="00000024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проекті наказу відсутні положення, що містять ризики вчинення корупційних правопорушень та правопорушень, пов’язаних з корупцією.</w:t>
      </w:r>
    </w:p>
    <w:p w:rsidR="00000000" w:rsidDel="00000000" w:rsidP="00000000" w:rsidRDefault="00000000" w:rsidRPr="00000000" w14:paraId="00000025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наказу не потребує проведення громадської антикорупційної, громадської антидискримінаційної та громадської гендерно-правової експертиз.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Прогноз результатів</w:t>
      </w:r>
    </w:p>
    <w:p w:rsidR="00000000" w:rsidDel="00000000" w:rsidP="00000000" w:rsidRDefault="00000000" w:rsidRPr="00000000" w14:paraId="00000028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Прийняття наказу сприятиме забезпеченню  правової визначеності, оптимізації та прозорості процесу здійснення моніторингу за дотриманням законодавства суб’єктами лобіювання.</w:t>
      </w:r>
    </w:p>
    <w:p w:rsidR="00000000" w:rsidDel="00000000" w:rsidP="00000000" w:rsidRDefault="00000000" w:rsidRPr="00000000" w14:paraId="00000029">
      <w:pPr>
        <w:spacing w:line="240" w:lineRule="auto"/>
        <w:ind w:right="-466.062992125984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28" w:lineRule="auto"/>
        <w:ind w:right="-466.062992125984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Голова Національного агентства </w:t>
      </w:r>
    </w:p>
    <w:p w:rsidR="00000000" w:rsidDel="00000000" w:rsidP="00000000" w:rsidRDefault="00000000" w:rsidRPr="00000000" w14:paraId="0000002C">
      <w:pPr>
        <w:spacing w:line="240" w:lineRule="auto"/>
        <w:ind w:right="-466.0629921259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питань запобігання корупції</w:t>
        <w:tab/>
        <w:t xml:space="preserve">                            Віктор ПАВЛУЩИК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466.062992125984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