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64D3C" w:rsidRDefault="00FF3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РОЗДІЛ ІІ.</w:t>
      </w:r>
    </w:p>
    <w:p w14:paraId="00000002" w14:textId="77777777" w:rsidR="00364D3C" w:rsidRDefault="00FF3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ЗАПОБІГАННЯ КОРУПЦІЇ </w:t>
      </w:r>
    </w:p>
    <w:p w14:paraId="00000003" w14:textId="77777777" w:rsidR="00364D3C" w:rsidRDefault="00FF3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ПРІОРИТЕТНИХ СФЕРАХ</w:t>
      </w:r>
    </w:p>
    <w:p w14:paraId="00000004" w14:textId="77777777" w:rsidR="00364D3C" w:rsidRDefault="00364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364D3C" w:rsidRDefault="00364D3C" w:rsidP="00FF383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364D3C" w:rsidRDefault="00FF3838" w:rsidP="00FF3838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«…»</w:t>
      </w:r>
    </w:p>
    <w:p w14:paraId="00000007" w14:textId="77777777" w:rsidR="00364D3C" w:rsidRDefault="00364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364D3C" w:rsidRDefault="00364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1C31FC77" w:rsidR="00364D3C" w:rsidRPr="0001179B" w:rsidRDefault="00FF3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3028E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</w:t>
      </w:r>
      <w:r w:rsidR="008B062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  <w:r w:rsidR="0001179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1D0D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Земельна</w:t>
      </w:r>
      <w:r w:rsidR="0001179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сфера</w:t>
      </w:r>
    </w:p>
    <w:p w14:paraId="0000000A" w14:textId="77777777" w:rsidR="00364D3C" w:rsidRDefault="00364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B" w14:textId="5F46EEF8" w:rsidR="00364D3C" w:rsidRPr="00BB3B33" w:rsidRDefault="00FF3838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Проблема 2.</w:t>
      </w:r>
      <w:r w:rsidR="00ED7B57"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1</w:t>
      </w:r>
      <w:r w:rsidR="00932747"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3</w:t>
      </w: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01179B"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1.</w:t>
      </w:r>
    </w:p>
    <w:p w14:paraId="0000000C" w14:textId="1DE7A80C" w:rsidR="00364D3C" w:rsidRPr="00BB3B33" w:rsidRDefault="001A1548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 безоплатної приватизації земельних ділянок знецінює державні та комунальні землі, формує корупційний «ринок доступу» та суперечить європейським принципам вільного обігу товарів та недопущення дискримінації у цій сфері</w:t>
      </w:r>
      <w:r w:rsidR="00FF3838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9302C80" w14:textId="0A33C4FB" w:rsidR="00F17DD6" w:rsidRPr="00BB3B33" w:rsidRDefault="00F17DD6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Очікувані стратегічні результати:</w:t>
      </w:r>
    </w:p>
    <w:p w14:paraId="0000000D" w14:textId="0BA1812E" w:rsidR="00364D3C" w:rsidRPr="00BB3B33" w:rsidRDefault="00FF3838" w:rsidP="00BB3B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7D041D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="0001179B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.1.</w:t>
      </w:r>
      <w:r w:rsidR="0001179B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1.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932747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</w:t>
      </w:r>
      <w:proofErr w:type="spellStart"/>
      <w:r w:rsidR="00932747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апроваджено</w:t>
      </w:r>
      <w:proofErr w:type="spellEnd"/>
      <w:r w:rsidR="00932747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3808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нормативне</w:t>
      </w:r>
      <w:r w:rsidR="00932747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регулювання, що передбачає скасування інституту безоплатної приватизації земельних ділянок, крім тих, на яких розташовані будівлі, споруди, що перебувають у приватній власності</w:t>
      </w:r>
      <w:r w:rsidR="00E73CD2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932747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тих, які були передані у користування до 2002 року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0000012" w14:textId="77777777" w:rsidR="00364D3C" w:rsidRPr="00BB3B33" w:rsidRDefault="00364D3C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693595A" w14:textId="642ED4E5" w:rsidR="0001179B" w:rsidRPr="00BB3B33" w:rsidRDefault="0001179B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  <w:bookmarkStart w:id="0" w:name="_qnetu6qsn8ie" w:colFirst="0" w:colLast="0"/>
      <w:bookmarkEnd w:id="0"/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Проблема 2.</w:t>
      </w:r>
      <w:r w:rsidR="00ED7B57"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1</w:t>
      </w:r>
      <w:r w:rsidR="00932747"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3</w:t>
      </w: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2.</w:t>
      </w:r>
    </w:p>
    <w:p w14:paraId="00000014" w14:textId="0E261E30" w:rsidR="00364D3C" w:rsidRPr="00BB3B33" w:rsidRDefault="00910D1E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Недосконале регулювання інституту права постійного користування земельними ділянками створює умови для тіньової оренди землі, позбавляє бюджети доходів і продовжує стимулювати поширення корупційних схем</w:t>
      </w:r>
      <w:r w:rsidR="00FF3838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0000015" w14:textId="77777777" w:rsidR="00364D3C" w:rsidRPr="00BB3B33" w:rsidRDefault="00FF3838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Очікувані стратегічні результати:</w:t>
      </w:r>
    </w:p>
    <w:p w14:paraId="00000016" w14:textId="739DCC8D" w:rsidR="00364D3C" w:rsidRPr="00BB3B33" w:rsidRDefault="0001179B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7D041D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="00FF3838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r w:rsidR="00910D1E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</w:t>
      </w:r>
      <w:proofErr w:type="spellStart"/>
      <w:r w:rsidR="00910D1E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апроваджено</w:t>
      </w:r>
      <w:proofErr w:type="spellEnd"/>
      <w:r w:rsidR="00910D1E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нормативне регулювання, яке забезпечує трансформацію існуючих прав постійного користування земельними ділянками, які належать державним і комунальним установам, господарським товариствам зі 100% участю держави, територіальної громади у статутному капіталі, у право </w:t>
      </w:r>
      <w:proofErr w:type="spellStart"/>
      <w:r w:rsidR="00910D1E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узуфрукту</w:t>
      </w:r>
      <w:proofErr w:type="spellEnd"/>
      <w:r w:rsidRPr="00BB3B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15BFCC" w14:textId="77777777" w:rsidR="0001179B" w:rsidRPr="00BB3B33" w:rsidRDefault="0001179B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76BB267" w14:textId="5A8D2F0F" w:rsidR="0001179B" w:rsidRPr="00BB3B33" w:rsidRDefault="0001179B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Проблема 2.</w:t>
      </w:r>
      <w:r w:rsidR="00ED7B57"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1</w:t>
      </w:r>
      <w:r w:rsidR="00910D1E"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3</w:t>
      </w: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3.</w:t>
      </w:r>
    </w:p>
    <w:p w14:paraId="0000001B" w14:textId="414FCE38" w:rsidR="00364D3C" w:rsidRPr="00BB3B33" w:rsidRDefault="002971EE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Відсутність законодавчих норм щодо співвідношення площі будівлі та площі земельної ділянки державної, комунальної власності, на якій вона розташована, призводить до суттєвих зловживань з боку органів влади, які розпоряджаються такими земельними ділянками</w:t>
      </w:r>
      <w:r w:rsidR="00FF3838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000001C" w14:textId="77777777" w:rsidR="00364D3C" w:rsidRPr="00BB3B33" w:rsidRDefault="00FF3838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Очікувані стратегічні результати:</w:t>
      </w:r>
    </w:p>
    <w:p w14:paraId="0000001D" w14:textId="0AA65371" w:rsidR="00364D3C" w:rsidRPr="00BB3B33" w:rsidRDefault="0001179B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7D041D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bookmarkStart w:id="1" w:name="_Hlk213236771"/>
      <w:r w:rsidR="00992051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В</w:t>
      </w:r>
      <w:r w:rsidR="00834E84" w:rsidRPr="00BB3B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регул</w:t>
      </w:r>
      <w:r w:rsidR="00EA242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ьо</w:t>
      </w:r>
      <w:r w:rsidR="00834E84" w:rsidRPr="00BB3B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вано питання співвідношення площі будівлі/споруди за її зовнішніми горизонтальними контурами та площі земельної ділянки державної/комунальної власності, яка може бути надана у власність чи користування власникові такого об’єкта </w:t>
      </w:r>
      <w:r w:rsidR="001844B6" w:rsidRPr="00BB3B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</w:t>
      </w:r>
      <w:r w:rsidR="00834E84" w:rsidRPr="00BB3B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неконкурентний спосіб, зокрема: визначені землі, які обов’язково включаються до меж такої земельної ділянки, а також землі, які не можуть бути включені до її меж; запроваджена методика формування таких земельних ділянок, яка враховує, </w:t>
      </w:r>
      <w:r w:rsidR="007126A0" w:rsidRPr="00BB3B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зокрема,</w:t>
      </w:r>
      <w:r w:rsidR="00834E84" w:rsidRPr="00BB3B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функціональне призначення, конфігурацію контурів, технічні характеристики будівлі/споруди, місце її розташування відносно інших об’єктів нерухомого майна, територій та об’єктів загального користування, </w:t>
      </w:r>
      <w:proofErr w:type="spellStart"/>
      <w:r w:rsidR="00834E84" w:rsidRPr="00BB3B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режимоутворюючих</w:t>
      </w:r>
      <w:proofErr w:type="spellEnd"/>
      <w:r w:rsidR="00834E84" w:rsidRPr="00BB3B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об’єктів</w:t>
      </w:r>
      <w:r w:rsidR="00CF05C8" w:rsidRPr="00BB3B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bookmarkEnd w:id="1"/>
    <w:p w14:paraId="0000005F" w14:textId="3241D925" w:rsidR="00364D3C" w:rsidRPr="00BB3B33" w:rsidRDefault="00364D3C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863097" w14:textId="38C9FF6D" w:rsidR="002971EE" w:rsidRPr="00BB3B33" w:rsidRDefault="002971EE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Проблема 2.</w:t>
      </w:r>
      <w:r w:rsidR="00ED7B57"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1</w:t>
      </w: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3</w:t>
      </w: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4.</w:t>
      </w:r>
    </w:p>
    <w:p w14:paraId="4E02B9D7" w14:textId="1C121AA1" w:rsidR="002971EE" w:rsidRPr="00BB3B33" w:rsidRDefault="002971EE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Відсутність уніфікованої процедури встановлення, зміни, скасування та реєстрації обмежень у використанні земель створює значні корупційні ризики.</w:t>
      </w:r>
    </w:p>
    <w:p w14:paraId="59A054A8" w14:textId="77777777" w:rsidR="002971EE" w:rsidRPr="00BB3B33" w:rsidRDefault="002971EE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Очікувані стратегічні результати:</w:t>
      </w:r>
    </w:p>
    <w:p w14:paraId="76DC8BEB" w14:textId="5E4B4014" w:rsidR="002971EE" w:rsidRPr="00BB3B33" w:rsidRDefault="002971EE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7D041D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13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Запроваджено єдине нормативне регулювання, яке уніфікує процедуру встановлення, зміни, скасування та внесення до Державного земельного кадастру відомостей про обмеження у використанні земель</w:t>
      </w:r>
      <w:r w:rsidRPr="00BB3B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3F6362D7" w14:textId="55540A7B" w:rsidR="002971EE" w:rsidRPr="00BB3B33" w:rsidRDefault="002971EE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2.</w:t>
      </w:r>
      <w:r w:rsidR="007D041D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Забезпечено повноцінну технічну можливість внесення обмежень у використанні земель до Державного земельного кадастру сертифікованими інженерами-землевпорядниками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05F09CE0" w14:textId="0D82BB16" w:rsidR="002971EE" w:rsidRPr="00BB3B33" w:rsidRDefault="002971EE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7D041D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Оцифровано</w:t>
      </w:r>
      <w:proofErr w:type="spellEnd"/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верифіковано</w:t>
      </w:r>
      <w:proofErr w:type="spellEnd"/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історичні джерела відомостей про обмеження у використанні земель.</w:t>
      </w:r>
    </w:p>
    <w:p w14:paraId="2DDE034E" w14:textId="0377CBBC" w:rsidR="002971EE" w:rsidRPr="00BB3B33" w:rsidRDefault="002971EE" w:rsidP="00BB3B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7D041D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 Запроваджено автоматизовану взаємодію між Державним земельним кадастром та </w:t>
      </w:r>
      <w:bookmarkStart w:id="2" w:name="_GoBack"/>
      <w:bookmarkEnd w:id="2"/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Державним реєстром речових прав на нерухоме майно, Єдиною державною електронною системою у сфері будівництва та Державним реєстром пошкодженого та знищеного майна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14D6CEE1" w14:textId="0FCB3C0B" w:rsidR="002971EE" w:rsidRPr="00BB3B33" w:rsidRDefault="002971EE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BF036E" w14:textId="4EDCE562" w:rsidR="002971EE" w:rsidRPr="00BB3B33" w:rsidRDefault="002971EE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Проблема 2.</w:t>
      </w:r>
      <w:r w:rsidR="00ED7B57"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1</w:t>
      </w: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3</w:t>
      </w: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5.</w:t>
      </w:r>
    </w:p>
    <w:p w14:paraId="0CF38CCC" w14:textId="0B03A522" w:rsidR="002971EE" w:rsidRPr="00BB3B33" w:rsidRDefault="00D95481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Недостатня визначеність меж територій територіальних громад містить ризик межових спорів та ускладнює процедуру територіального планування</w:t>
      </w:r>
      <w:r w:rsidR="002971EE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66D2F12" w14:textId="77777777" w:rsidR="002971EE" w:rsidRPr="00BB3B33" w:rsidRDefault="002971EE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Очікувані стратегічні результати:</w:t>
      </w:r>
    </w:p>
    <w:p w14:paraId="55B3B1E2" w14:textId="61DD0860" w:rsidR="002971EE" w:rsidRPr="00BB3B33" w:rsidRDefault="002971EE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7D041D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95481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r w:rsidR="00BF1089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</w:t>
      </w:r>
      <w:proofErr w:type="spellStart"/>
      <w:r w:rsidR="00D95481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апроваджено</w:t>
      </w:r>
      <w:proofErr w:type="spellEnd"/>
      <w:r w:rsidR="00D95481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нормативне регулювання, яке забезпечує оптимізацію процедури встановлення меж територій територіальних громад із наданням можливості здійснення цього без проведення робіт на місцевості, а також із встановленням запобіжників проти зловживання місцевими радами своїми повноваженнями в процесі погодження питань із встановлення меж територій суміжних територіальних громад</w:t>
      </w:r>
      <w:r w:rsidRPr="00BB3B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9BC1E1D" w14:textId="77777777" w:rsidR="002971EE" w:rsidRPr="00BB3B33" w:rsidRDefault="002971EE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DC37C4" w14:textId="3450F874" w:rsidR="002971EE" w:rsidRPr="00BB3B33" w:rsidRDefault="002971EE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Проблема 2.</w:t>
      </w:r>
      <w:r w:rsidR="00ED7B57"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1</w:t>
      </w: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3</w:t>
      </w: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6.</w:t>
      </w:r>
    </w:p>
    <w:p w14:paraId="4B54565C" w14:textId="795557B2" w:rsidR="002971EE" w:rsidRPr="00BB3B33" w:rsidRDefault="00D95481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Недостатня інтегрованість кадастрових систем і вибірковий доступ до </w:t>
      </w:r>
      <w:proofErr w:type="spellStart"/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геопросторових</w:t>
      </w:r>
      <w:proofErr w:type="spellEnd"/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даних паралізують електронні сервіси, ускладнюють контроль за земельними ресурсами </w:t>
      </w:r>
      <w:r w:rsidR="000B163E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відкривають простір для корупції</w:t>
      </w:r>
      <w:r w:rsidR="002971EE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D81E082" w14:textId="77777777" w:rsidR="002971EE" w:rsidRPr="00BB3B33" w:rsidRDefault="002971EE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Очікувані стратегічні результати:</w:t>
      </w:r>
    </w:p>
    <w:p w14:paraId="7A8EDA4D" w14:textId="14304C0F" w:rsidR="002971EE" w:rsidRPr="00BB3B33" w:rsidRDefault="002971EE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7D041D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95481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r w:rsidR="00D95481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Впроваджено нормативне регулювання, яким передбачено єдиний уніфікований ідентифікатор об’єктів нерухомості на базі кадастрового номера земельної ділянки, що забезпечує нерозривний зв’язок земельних ділянок, будівель, споруд та їх частин у державних реєстрах.</w:t>
      </w:r>
    </w:p>
    <w:p w14:paraId="5559BE92" w14:textId="3403D2DE" w:rsidR="002971EE" w:rsidRPr="00BB3B33" w:rsidRDefault="00D95481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2.</w:t>
      </w:r>
      <w:r w:rsidR="007D041D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3.6.2. 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Забезпечено повну технічну й правову </w:t>
      </w:r>
      <w:proofErr w:type="spellStart"/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інтероперабельність</w:t>
      </w:r>
      <w:proofErr w:type="spellEnd"/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між Державним земельним кадастром, Державним реєстром речових прав на нерухоме майно, Єдиною державною електронною системою у сфері будівництва, Реєстром будівель та споруд і Єдиним державним реєстром адрес, включно з автоматизованим обміном метаданими, ідентифікаторами об’єктів та атрибутами стану прав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72589BF6" w14:textId="68466380" w:rsidR="00D95481" w:rsidRPr="00BB3B33" w:rsidRDefault="00D95481" w:rsidP="00BB3B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2.</w:t>
      </w:r>
      <w:r w:rsidR="007D041D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3.6.3. 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Удосконалено систему публічного моніторингу земельних відносин шляхом впровадження функціоналу для перевірки сплати податків на майно, наявності судових справ, адміністративних проваджень і результатів перевірок у розрізі кожного об’єкта нерухомості, включно з будівлями та спорудами.</w:t>
      </w:r>
    </w:p>
    <w:p w14:paraId="4C6412DE" w14:textId="25977FBA" w:rsidR="00D95481" w:rsidRPr="00BB3B33" w:rsidRDefault="00D95481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2.</w:t>
      </w:r>
      <w:r w:rsidR="007D041D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3.6.4. 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Впроваджено функціонал у складі Державного земельного кадастру для перевірки дійсності державних актів на право власності, право постійного користування земельними ділянками за допомогою сканованих копій, із можливістю надання електронних копій власникам (їх спадкоємцям).</w:t>
      </w:r>
    </w:p>
    <w:p w14:paraId="4BE02E2F" w14:textId="003FFA62" w:rsidR="00D95481" w:rsidRPr="00BB3B33" w:rsidRDefault="00D95481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2.</w:t>
      </w:r>
      <w:r w:rsidR="007D041D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3.6.5. 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 складі Державного фонду документації із землеустрою та оцінки земель створено централізований репозиторій архівної містобудівної, </w:t>
      </w:r>
      <w:proofErr w:type="spellStart"/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пам’яткоохоронної</w:t>
      </w:r>
      <w:proofErr w:type="spellEnd"/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природоохоронної документації (</w:t>
      </w:r>
      <w:r w:rsidR="003A6F6F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зокрема,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щодо меж територій та об’єктів природно-заповідного фонду) з просторовою прив’язкою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37D4CD1B" w14:textId="77777777" w:rsidR="00D95481" w:rsidRPr="00BB3B33" w:rsidRDefault="00D95481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F0D7F4" w14:textId="16AA621D" w:rsidR="002971EE" w:rsidRPr="00BB3B33" w:rsidRDefault="002971EE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Проблема 2.</w:t>
      </w:r>
      <w:r w:rsidR="00ED7B57"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1</w:t>
      </w: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3</w:t>
      </w: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7.</w:t>
      </w:r>
    </w:p>
    <w:p w14:paraId="7E3D2D8C" w14:textId="77777777" w:rsidR="007A2C15" w:rsidRPr="00BB3B33" w:rsidRDefault="00343C6B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Нечіткі та застарілі методики оцінки землі для оподаткування й непрозора система компенсацій при вилученні ділянок для суспільних потреб створюють суттєві втрати доходів та корупційні ризики</w:t>
      </w:r>
      <w:r w:rsidR="007A2C15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28D88103" w14:textId="4CEB698D" w:rsidR="002971EE" w:rsidRPr="00BB3B33" w:rsidRDefault="002971EE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Очікувані стратегічні результати:</w:t>
      </w:r>
    </w:p>
    <w:p w14:paraId="14DA0631" w14:textId="53764CEF" w:rsidR="002971EE" w:rsidRPr="00BB3B33" w:rsidRDefault="002971EE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7D041D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7A2C15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7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r w:rsidR="00225E7A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Відновлено пілотний проект та інституційно закріплено масову оцінку земель із забезпеченням її постійного функціонування у складі Державного земельного кадастру</w:t>
      </w:r>
      <w:r w:rsidR="00E24285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0B2C3ED3" w14:textId="74CDC490" w:rsidR="002971EE" w:rsidRPr="00BB3B33" w:rsidRDefault="007A2C15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2.</w:t>
      </w:r>
      <w:r w:rsidR="007D041D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7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r w:rsidR="00E24285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результатами пілотного проекту із масової оцінки земель </w:t>
      </w:r>
      <w:proofErr w:type="spellStart"/>
      <w:r w:rsidR="00E24285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внесено</w:t>
      </w:r>
      <w:proofErr w:type="spellEnd"/>
      <w:r w:rsidR="00E24285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зміни до податкового та земельного законодавства, якими масова оцінка земель визначена базою оподаткування та інструментом фіскальної прозорості</w:t>
      </w:r>
      <w:r w:rsidR="00E24285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01AADAB2" w14:textId="6CAFFE4A" w:rsidR="007A2C15" w:rsidRPr="00BB3B33" w:rsidRDefault="007A2C15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7D041D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7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r w:rsidR="00D515F7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Затверджено новий порядок визначення та відшкодування збитків власникам землі та землекористувачам, що базується на експертній грошовій оцінці земельних ділянок із уніфікованими критеріями, відкритими методиками розрахунку та механізмами незалежного контролю</w:t>
      </w:r>
      <w:r w:rsidR="00E24285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2A00F45A" w14:textId="77777777" w:rsidR="007A2C15" w:rsidRPr="00BB3B33" w:rsidRDefault="007A2C15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B72E0E5" w14:textId="6920460D" w:rsidR="002971EE" w:rsidRPr="00BB3B33" w:rsidRDefault="002971EE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Проблема 2.</w:t>
      </w:r>
      <w:r w:rsidR="00ED7B57"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1</w:t>
      </w: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3</w:t>
      </w: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8.</w:t>
      </w:r>
    </w:p>
    <w:p w14:paraId="412A8C87" w14:textId="139D6754" w:rsidR="002971EE" w:rsidRPr="00BB3B33" w:rsidRDefault="00313984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Капітальне будівництво в Україні здебільшого здійснюється на правах нетривалої оренди, що фактично позбавляє бюджети коштів з продажу земельних ділянок державної, комунальної власності, а також стимулює зловживання з боку орендодавців</w:t>
      </w:r>
      <w:r w:rsidR="002971EE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85E00FF" w14:textId="77777777" w:rsidR="002971EE" w:rsidRPr="00BB3B33" w:rsidRDefault="002971EE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Очікувані стратегічні результати:</w:t>
      </w:r>
    </w:p>
    <w:p w14:paraId="2DA89E82" w14:textId="1A755746" w:rsidR="004F3F7A" w:rsidRPr="00BB3B33" w:rsidRDefault="002971EE" w:rsidP="00BB3B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7D041D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313984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8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r w:rsidR="002117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</w:t>
      </w:r>
      <w:r w:rsidR="004F3F7A" w:rsidRPr="00BB3B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проваджено законодавче регулювання, </w:t>
      </w:r>
      <w:r w:rsidR="00196E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спрямоване</w:t>
      </w:r>
      <w:r w:rsidR="004F3F7A" w:rsidRPr="00BB3B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 поєднання правової долі земельних ділянок та розміщених на них будівель і споруд, зокрема щодо:</w:t>
      </w:r>
    </w:p>
    <w:p w14:paraId="38D5B991" w14:textId="72E27DD0" w:rsidR="004F3F7A" w:rsidRPr="00BB3B33" w:rsidRDefault="004F3F7A" w:rsidP="00BB3B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3B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 здійснення будівництва виключно на земельних ділянках</w:t>
      </w:r>
      <w:r w:rsidR="003D76F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Pr="00BB3B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щодо яких оформлено право власності або інше речове право, яке має постійний характер (крім окремих, чітко визначених законом випадків);</w:t>
      </w:r>
    </w:p>
    <w:p w14:paraId="7A3CCF6E" w14:textId="0924EFF2" w:rsidR="004F3F7A" w:rsidRPr="00BB3B33" w:rsidRDefault="004F3F7A" w:rsidP="00BB3B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3B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- автоматичного (без необхідності вчинення окремого правочину) переходу речових прав на земельну ділянку (її частку) від забудовника до осіб, якими придбано об’єкти нерухомості (їх частини), що споруджені на такій земельній ділянці, </w:t>
      </w:r>
      <w:r w:rsidR="00E17640" w:rsidRPr="00BB3B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зокрема</w:t>
      </w:r>
      <w:r w:rsidRPr="00BB3B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до співвласників багатоквартирного будинку;</w:t>
      </w:r>
    </w:p>
    <w:p w14:paraId="6958E3F7" w14:textId="258BE6F4" w:rsidR="002971EE" w:rsidRPr="00BB3B33" w:rsidRDefault="004F3F7A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B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 визначення особливостей набуття та розпорядження часткою у праві власності на земельну ділянку, на якій розміщено багатоквартирний будинок, співвласниками такого будинку шляхом встановлення принципу, відповідно до якого кожному співвласникові багатоквартирного будинку належить частка у праві власності на земельну ділянку, на якій він розміщений, пропорційна його частці співвласника, а належна співвласникові багатоквартирного будинку частка у праві власності на земельну ділянку не підлягає виділенню в натурі та відчужується виключно шляхом відчуження квартири або нежитлового приміщення в багатоквартирному будинку.</w:t>
      </w:r>
    </w:p>
    <w:p w14:paraId="122E76D1" w14:textId="77777777" w:rsidR="002971EE" w:rsidRPr="00BB3B33" w:rsidRDefault="002971EE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B90DB9D" w14:textId="7C83FBF5" w:rsidR="002971EE" w:rsidRPr="00BB3B33" w:rsidRDefault="002971EE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Проблема 2.</w:t>
      </w:r>
      <w:r w:rsidR="00ED7B57"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1</w:t>
      </w: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3</w:t>
      </w: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9.</w:t>
      </w:r>
    </w:p>
    <w:p w14:paraId="1F45C58B" w14:textId="70E6463F" w:rsidR="002971EE" w:rsidRPr="00BB3B33" w:rsidRDefault="004F3F7A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Відсутність прозорої та законодавчо врегульованої черговості розгляду заяв і документації із землеустрою щодо земель державної й комунальної власності породжує системну корупцію та блокує ефективне використання земельних ресурсів</w:t>
      </w:r>
      <w:r w:rsidR="002971EE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2B81F1D" w14:textId="77777777" w:rsidR="002971EE" w:rsidRPr="00BB3B33" w:rsidRDefault="002971EE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B3B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Очікувані стратегічні результати:</w:t>
      </w:r>
    </w:p>
    <w:p w14:paraId="7C8E8F85" w14:textId="360FF3B5" w:rsidR="002971EE" w:rsidRPr="00BB3B33" w:rsidRDefault="002971EE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7D041D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F3F7A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9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r w:rsidR="004F3F7A" w:rsidRPr="00BB3B3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Запроваджено уніфіковану електронну форму документації із землеустрою та технічної документації з оцінки земель, що формується виключно як електронний документ і підписується кваліфікованим електронним підписом сертифікованого інженера-землевпорядника з кваліфікованою позначкою часу</w:t>
      </w:r>
      <w:r w:rsidRPr="00BB3B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424E86B" w14:textId="6ABA9CE3" w:rsidR="002971EE" w:rsidRPr="00BB3B33" w:rsidRDefault="004F3F7A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7D041D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9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Функціонує обов’язкова електронна взаємодія суб’єктів землеустрою на всіх стадіях розроблення, погодження, затвердження документації із землеустрою, державної реєстрації земельних ділянок та інших об’єктів Державного земельного кадастру із використанням електронних кабінетів і виключно електронного документообігу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233426BA" w14:textId="615F2887" w:rsidR="002971EE" w:rsidRPr="00BB3B33" w:rsidRDefault="004F3F7A" w:rsidP="00BB3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7D041D"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9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Запущено пілотний проект електронної черги розгляду заяв і документації із землеустрою щодо земель державної й комунальної власності у визначених громадах/областях із поетапним масштабуванням на всю країну, нормативно закріплено інтеграцію через прикладні програмні інтерфейси з Державним земельним кадастром</w:t>
      </w:r>
      <w:r w:rsidRPr="00BB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sectPr w:rsidR="002971EE" w:rsidRPr="00BB3B33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3C"/>
    <w:rsid w:val="0001179B"/>
    <w:rsid w:val="000B163E"/>
    <w:rsid w:val="000F3579"/>
    <w:rsid w:val="001818CD"/>
    <w:rsid w:val="001844B6"/>
    <w:rsid w:val="00196E7E"/>
    <w:rsid w:val="001A1548"/>
    <w:rsid w:val="001A1833"/>
    <w:rsid w:val="001D0DC6"/>
    <w:rsid w:val="00211733"/>
    <w:rsid w:val="00225E7A"/>
    <w:rsid w:val="00252AAC"/>
    <w:rsid w:val="002971EE"/>
    <w:rsid w:val="00300B45"/>
    <w:rsid w:val="003028E3"/>
    <w:rsid w:val="00313984"/>
    <w:rsid w:val="00343C6B"/>
    <w:rsid w:val="00364D3C"/>
    <w:rsid w:val="003A6F6F"/>
    <w:rsid w:val="003D76F2"/>
    <w:rsid w:val="00400867"/>
    <w:rsid w:val="00452A74"/>
    <w:rsid w:val="004F3F7A"/>
    <w:rsid w:val="00546095"/>
    <w:rsid w:val="005C36B6"/>
    <w:rsid w:val="005F6995"/>
    <w:rsid w:val="007126A0"/>
    <w:rsid w:val="007A2C15"/>
    <w:rsid w:val="007D041D"/>
    <w:rsid w:val="00805296"/>
    <w:rsid w:val="00807B21"/>
    <w:rsid w:val="0081547D"/>
    <w:rsid w:val="00834E84"/>
    <w:rsid w:val="00846982"/>
    <w:rsid w:val="008B062D"/>
    <w:rsid w:val="00910D1E"/>
    <w:rsid w:val="00932747"/>
    <w:rsid w:val="00943BF3"/>
    <w:rsid w:val="00992051"/>
    <w:rsid w:val="009F778A"/>
    <w:rsid w:val="00A37D36"/>
    <w:rsid w:val="00B307F6"/>
    <w:rsid w:val="00B331AB"/>
    <w:rsid w:val="00B72293"/>
    <w:rsid w:val="00B979DC"/>
    <w:rsid w:val="00BA5C55"/>
    <w:rsid w:val="00BB04B1"/>
    <w:rsid w:val="00BB3B33"/>
    <w:rsid w:val="00BF1089"/>
    <w:rsid w:val="00CF05C8"/>
    <w:rsid w:val="00D042AB"/>
    <w:rsid w:val="00D259C1"/>
    <w:rsid w:val="00D35C2E"/>
    <w:rsid w:val="00D515F7"/>
    <w:rsid w:val="00D872EC"/>
    <w:rsid w:val="00D95481"/>
    <w:rsid w:val="00DA4323"/>
    <w:rsid w:val="00DB0FAD"/>
    <w:rsid w:val="00E17640"/>
    <w:rsid w:val="00E24285"/>
    <w:rsid w:val="00E5157A"/>
    <w:rsid w:val="00E73CD2"/>
    <w:rsid w:val="00EA2422"/>
    <w:rsid w:val="00ED7B57"/>
    <w:rsid w:val="00F17DD6"/>
    <w:rsid w:val="00FB3808"/>
    <w:rsid w:val="00F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FFC2"/>
  <w15:docId w15:val="{67EAF4A7-B64D-418B-BACE-DE0415E7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7DD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annotation reference"/>
    <w:basedOn w:val="a0"/>
    <w:uiPriority w:val="99"/>
    <w:semiHidden/>
    <w:unhideWhenUsed/>
    <w:rsid w:val="001A18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A1833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1A183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A1833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1A183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A1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1A1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5840</Words>
  <Characters>3329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Дубенко Віталій Русланович</dc:creator>
  <cp:lastModifiedBy>НАЗК</cp:lastModifiedBy>
  <cp:revision>83</cp:revision>
  <dcterms:created xsi:type="dcterms:W3CDTF">2025-10-27T08:40:00Z</dcterms:created>
  <dcterms:modified xsi:type="dcterms:W3CDTF">2025-11-11T11:06:00Z</dcterms:modified>
</cp:coreProperties>
</file>