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1" w:firstLine="565"/>
        <w:jc w:val="center"/>
        <w:rPr>
          <w:rFonts w:ascii="Times New Roman" w:cs="Times New Roman" w:eastAsia="Times New Roman" w:hAnsi="Times New Roman"/>
          <w:sz w:val="28"/>
          <w:szCs w:val="28"/>
        </w:rPr>
      </w:pPr>
      <w:bookmarkStart w:colFirst="0" w:colLast="0" w:name="_heading=h.26kij0xlk6mq" w:id="0"/>
      <w:bookmarkEnd w:id="0"/>
      <w:r w:rsidDel="00000000" w:rsidR="00000000" w:rsidRPr="00000000">
        <w:rPr>
          <w:rFonts w:ascii="Times New Roman" w:cs="Times New Roman" w:eastAsia="Times New Roman" w:hAnsi="Times New Roman"/>
          <w:b w:val="1"/>
          <w:sz w:val="28"/>
          <w:szCs w:val="28"/>
          <w:rtl w:val="0"/>
        </w:rPr>
        <w:t xml:space="preserve">ПОЯСНЮВАЛЬНА ЗАПИСКА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до проекту Закону України «Про внесення змін до деяких законодавчих актів України щодо врегулювання питання виплати винагороди викривачу»</w:t>
      </w:r>
      <w:r w:rsidDel="00000000" w:rsidR="00000000" w:rsidRPr="00000000">
        <w:rPr>
          <w:rtl w:val="0"/>
        </w:rPr>
      </w:r>
    </w:p>
    <w:p w:rsidR="00000000" w:rsidDel="00000000" w:rsidP="00000000" w:rsidRDefault="00000000" w:rsidRPr="00000000" w14:paraId="00000002">
      <w:pPr>
        <w:shd w:fill="ffffff" w:val="clear"/>
        <w:spacing w:after="150" w:before="150" w:line="240" w:lineRule="auto"/>
        <w:ind w:right="45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Мета</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150" w:before="15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Закону України «Про внесення змін до деяких законодавчих актів України щодо врегулювання питання виплати винагороди викривачу» (далі – проект Закону) розроблено з метою приведення окремих положень Закону України «Про запобігання корупції» (далі – Закон) та Кримінального процесуального кодексу України (далі – КПК України) у відповідність до чинного законодавства та нормативно-правового врегулювання питання виконання рішень судів про виплату винагороди викривачу.</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Обґрунтування необхідності прийняття акта</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Закону розроблено Національним агентством з питань запобігання корупції (далі – Національне агентство) з метою приведення окремих положень Закону та КПК України щодо забезпечення реалізації права викривача, який повідомив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 на винагороду, передбачену Законом, у відповідність до вимог чинного законодавства.</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питання виплати викривачеві винагороди передбачає безумовну процедуру безспірного списання коштів з державного бюджету згідно з рішенням суду, яка визначена Порядком виконання рішень про стягнення коштів державного та місцевих бюджетів або боржників, затвердженим постановою Кабінету Міністрів України від 03.08.2011 № 845 (у редакції </w:t>
      </w:r>
      <w:hyperlink r:id="rId7">
        <w:r w:rsidDel="00000000" w:rsidR="00000000" w:rsidRPr="00000000">
          <w:rPr>
            <w:rFonts w:ascii="Times New Roman" w:cs="Times New Roman" w:eastAsia="Times New Roman" w:hAnsi="Times New Roman"/>
            <w:sz w:val="28"/>
            <w:szCs w:val="28"/>
            <w:rtl w:val="0"/>
          </w:rPr>
          <w:t xml:space="preserve">постанови Кабінету Міністрів України</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sz w:val="28"/>
            <w:szCs w:val="28"/>
            <w:rtl w:val="0"/>
          </w:rPr>
          <w:t xml:space="preserve">від 30.01.2013 № 45</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15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Разом з тим зазначений Порядок наразі не містить реального механізму виплати винагороди саме викривачеві, оскільки передбачена цим Порядком процедура спрямована насамперед на </w:t>
      </w:r>
      <w:r w:rsidDel="00000000" w:rsidR="00000000" w:rsidRPr="00000000">
        <w:rPr>
          <w:rFonts w:ascii="Times New Roman" w:cs="Times New Roman" w:eastAsia="Times New Roman" w:hAnsi="Times New Roman"/>
          <w:sz w:val="28"/>
          <w:szCs w:val="28"/>
          <w:u w:val="single"/>
          <w:rtl w:val="0"/>
        </w:rPr>
        <w:t xml:space="preserve">механізм виконання рішень про </w:t>
      </w:r>
      <w:r w:rsidDel="00000000" w:rsidR="00000000" w:rsidRPr="00000000">
        <w:rPr>
          <w:rFonts w:ascii="Times New Roman" w:cs="Times New Roman" w:eastAsia="Times New Roman" w:hAnsi="Times New Roman"/>
          <w:b w:val="1"/>
          <w:sz w:val="28"/>
          <w:szCs w:val="28"/>
          <w:u w:val="single"/>
          <w:rtl w:val="0"/>
        </w:rPr>
        <w:t xml:space="preserve">стягнення коштів</w:t>
      </w:r>
      <w:r w:rsidDel="00000000" w:rsidR="00000000" w:rsidRPr="00000000">
        <w:rPr>
          <w:rFonts w:ascii="Times New Roman" w:cs="Times New Roman" w:eastAsia="Times New Roman" w:hAnsi="Times New Roman"/>
          <w:sz w:val="28"/>
          <w:szCs w:val="28"/>
          <w:rtl w:val="0"/>
        </w:rPr>
        <w:t xml:space="preserve"> державного та місцевих бюджетів або боржників.</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Основні положення проекту акта</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Проектом Закону пропонується визначити окрему процедуру виплати винагороди особам, які повідомили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 та здійснювали активне сприяння його розкриттю, а також визначити Національне агентство органом, відповідальним за питання, зокрема, планування та використання коштів, передбачених у державному бюджеті на реалізацію заходів з виплати винагороди викривачам за окремою бюджетною програмою (головним розпорядником бюджетних коштів і відповідальним виконавцем бюджетної програми).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проектом Закону пропонується внести зміни до окремих статей КПК України в частині виокремлення процедури виплати винагороди викривачам та забезпечення реалізації такої виплати у встановленому порядку.</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Правові аспекти</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150" w:before="15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відповідній сфері суспільних відносин діють:</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150" w:before="15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Конституція України;</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150" w:before="15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150" w:before="15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КПК України.</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Фінансово-економічне обґрунтування</w:t>
      </w:r>
      <w:r w:rsidDel="00000000" w:rsidR="00000000" w:rsidRPr="00000000">
        <w:rPr>
          <w:rtl w:val="0"/>
        </w:rPr>
      </w:r>
    </w:p>
    <w:p w:rsidR="00000000" w:rsidDel="00000000" w:rsidP="00000000" w:rsidRDefault="00000000" w:rsidRPr="00000000" w14:paraId="00000012">
      <w:pPr>
        <w:shd w:fill="ffffff" w:val="clear"/>
        <w:spacing w:after="0" w:line="240" w:lineRule="auto"/>
        <w:ind w:left="1"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Закону, у разі його прийняття, потребуватиме видатків з Державного бюджету України, спрямованих на фінансування заходів щодо забезпечення дотримання прав викривачів на виплату винагороди.</w:t>
      </w:r>
    </w:p>
    <w:p w:rsidR="00000000" w:rsidDel="00000000" w:rsidP="00000000" w:rsidRDefault="00000000" w:rsidRPr="00000000" w14:paraId="00000013">
      <w:pPr>
        <w:shd w:fill="ffffff" w:val="clear"/>
        <w:spacing w:after="0" w:line="240" w:lineRule="auto"/>
        <w:ind w:left="1"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Закону 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та не може перевищувати трьох тисяч мінімальних заробітних плат, установлених на час вчинення злочину.</w:t>
      </w:r>
    </w:p>
    <w:p w:rsidR="00000000" w:rsidDel="00000000" w:rsidP="00000000" w:rsidRDefault="00000000" w:rsidRPr="00000000" w14:paraId="00000014">
      <w:pPr>
        <w:shd w:fill="ffffff" w:val="clear"/>
        <w:spacing w:after="0" w:line="240" w:lineRule="auto"/>
        <w:ind w:left="1"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той же час визначити суму майбутніх витрат неможливо, оскільки інформація щодо судових рішень про виплату винагороди викривачам, які набрали законної сили, на день подання законопроекту відсутня.</w:t>
      </w:r>
    </w:p>
    <w:p w:rsidR="00000000" w:rsidDel="00000000" w:rsidP="00000000" w:rsidRDefault="00000000" w:rsidRPr="00000000" w14:paraId="00000015">
      <w:pPr>
        <w:shd w:fill="ffffff" w:val="clear"/>
        <w:spacing w:after="0" w:line="240" w:lineRule="auto"/>
        <w:ind w:left="1"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Обов’язок щодо інформування Національного агентства стосовно передання обвинувального акта у кримінальному провадженні за участю викривача до суду або ухвалення судового рішення про виплату винагороди викривачу пропонується передбачити цим проектом Закону.</w:t>
      </w:r>
    </w:p>
    <w:p w:rsidR="00000000" w:rsidDel="00000000" w:rsidP="00000000" w:rsidRDefault="00000000" w:rsidRPr="00000000" w14:paraId="00000016">
      <w:pPr>
        <w:shd w:fill="ffffff" w:val="clear"/>
        <w:spacing w:after="0" w:line="240" w:lineRule="auto"/>
        <w:ind w:left="1"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обсяг видатків для виплати винагороди викривачам буде можливо після ухвалення проекту Закону на підставі невиконаних судових рішень про виплату винагороди викривачу, які набрали законної сили, під час планування видатків на наступні бюджетні періоди.</w:t>
      </w:r>
    </w:p>
    <w:p w:rsidR="00000000" w:rsidDel="00000000" w:rsidP="00000000" w:rsidRDefault="00000000" w:rsidRPr="00000000" w14:paraId="00000017">
      <w:pPr>
        <w:shd w:fill="ffffff" w:val="clear"/>
        <w:spacing w:after="0" w:line="240" w:lineRule="auto"/>
        <w:ind w:left="1"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положення проекту Закону, який пропонується ухвалити, здійснення видатків на виплату винагороди викривачам, які повідомили про корупційний злочин, можливе з 2027 року.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Позиція заінтересованих сторін</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after="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Закону потребує проведення консультацій з громадськістю.</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after="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Закону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у зв’язку з чим позиція відповідних заінтересованих сторін не зазначається.</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15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Закону не стосується сфери наукової та науково-технічної діяльності та на розгляд Наукового комітету Національної ради з питань розвитку науки і техніки не подавався.</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Оцінка відповідності</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tabs>
          <w:tab w:val="left" w:leader="none" w:pos="8905"/>
        </w:tabs>
        <w:spacing w:after="150" w:before="15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проекті Закону відсутні положення, що:</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tabs>
          <w:tab w:val="left" w:leader="none" w:pos="8905"/>
          <w:tab w:val="left" w:leader="none" w:pos="9188"/>
        </w:tabs>
        <w:spacing w:after="150" w:before="15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стосуються зобов’язань України у сфері європейської інтеграції;</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tabs>
          <w:tab w:val="left" w:leader="none" w:pos="9639"/>
        </w:tabs>
        <w:spacing w:after="150" w:before="150" w:line="240" w:lineRule="auto"/>
        <w:ind w:left="1" w:right="45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стосуються прав та свобод, гарантованих Конвенцією про захист прав людини і основоположних свобод;</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tabs>
          <w:tab w:val="left" w:leader="none" w:pos="8905"/>
        </w:tabs>
        <w:spacing w:after="150" w:before="150" w:line="240" w:lineRule="auto"/>
        <w:ind w:left="1" w:right="14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впливають на забезпечення рівних прав та можливостей жінок і чоловіків;</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tabs>
          <w:tab w:val="left" w:leader="none" w:pos="8905"/>
        </w:tabs>
        <w:spacing w:after="150" w:before="15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містять ризики вчинення корупційних правопорушень та правопорушень, пов’язаних з корупцією;</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tabs>
          <w:tab w:val="left" w:leader="none" w:pos="8905"/>
        </w:tabs>
        <w:spacing w:after="150" w:before="15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створюють підстави для дискримінації.</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150" w:before="150" w:line="240" w:lineRule="auto"/>
        <w:ind w:left="1" w:right="450" w:firstLine="56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Прогноз результатів</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before="150" w:line="240" w:lineRule="auto"/>
        <w:ind w:left="1" w:right="0" w:firstLine="566"/>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Реалізація Закону дасть можливість забезпечити право викривачів, які повідомили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 та здійснювали активне сприяння його розкриттю, на винагороду, передбачену Законом.</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spacing w:after="0" w:line="240" w:lineRule="auto"/>
        <w:ind w:left="1"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Закону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150" w:before="150" w:line="240" w:lineRule="auto"/>
        <w:ind w:left="1" w:right="450" w:hanging="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hd w:fill="ffffff" w:val="clear"/>
        <w:spacing w:after="0" w:line="240" w:lineRule="auto"/>
        <w:ind w:left="1" w:right="448"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Голова Національного агентства</w:t>
      </w:r>
      <w:r w:rsidDel="00000000" w:rsidR="00000000" w:rsidRPr="00000000">
        <w:rPr>
          <w:rtl w:val="0"/>
        </w:rPr>
      </w:r>
    </w:p>
    <w:p w:rsidR="00000000" w:rsidDel="00000000" w:rsidP="00000000" w:rsidRDefault="00000000" w:rsidRPr="00000000" w14:paraId="00000028">
      <w:pPr>
        <w:shd w:fill="ffffff" w:val="clear"/>
        <w:spacing w:after="0" w:line="24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 питань запобігання корупції </w:t>
        <w:tab/>
        <w:tab/>
        <w:tab/>
        <w:t xml:space="preserve">    Віктор ПАВЛУЩИК</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985" w:top="0" w:left="1701" w:right="566"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after="160" w:line="259" w:lineRule="auto"/>
      <w:ind w:left="-1" w:leftChars="-1" w:hanging="1" w:hangingChars="1"/>
      <w:textDirection w:val="btLr"/>
      <w:textAlignment w:val="top"/>
      <w:outlineLvl w:val="0"/>
    </w:pPr>
    <w:rPr>
      <w:position w:val="-1"/>
      <w:sz w:val="22"/>
      <w:szCs w:val="22"/>
      <w:lang w:eastAsia="en-US" w:val="ru-RU"/>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rvps12" w:customStyle="1">
    <w:name w:val="rvps12"/>
    <w:basedOn w:val="a"/>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qFormat w:val="1"/>
    <w:rPr>
      <w:color w:val="0000ff"/>
      <w:w w:val="100"/>
      <w:position w:val="-1"/>
      <w:u w:val="single"/>
      <w:effect w:val="none"/>
      <w:vertAlign w:val="baseline"/>
      <w:cs w:val="0"/>
      <w:em w:val="none"/>
    </w:rPr>
  </w:style>
  <w:style w:type="paragraph" w:styleId="rvps7" w:customStyle="1">
    <w:name w:val="rvps7"/>
    <w:basedOn w:val="a"/>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rvts15" w:customStyle="1">
    <w:name w:val="rvts15"/>
    <w:rPr>
      <w:w w:val="100"/>
      <w:position w:val="-1"/>
      <w:effect w:val="none"/>
      <w:vertAlign w:val="baseline"/>
      <w:cs w:val="0"/>
      <w:em w:val="none"/>
    </w:rPr>
  </w:style>
  <w:style w:type="character" w:styleId="rvts82" w:customStyle="1">
    <w:name w:val="rvts82"/>
    <w:rPr>
      <w:w w:val="100"/>
      <w:position w:val="-1"/>
      <w:effect w:val="none"/>
      <w:vertAlign w:val="baseline"/>
      <w:cs w:val="0"/>
      <w:em w:val="none"/>
    </w:rPr>
  </w:style>
  <w:style w:type="paragraph" w:styleId="rvps2" w:customStyle="1">
    <w:name w:val="rvps2"/>
    <w:basedOn w:val="a"/>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rvts9" w:customStyle="1">
    <w:name w:val="rvts9"/>
    <w:rPr>
      <w:w w:val="100"/>
      <w:position w:val="-1"/>
      <w:effect w:val="none"/>
      <w:vertAlign w:val="baseline"/>
      <w:cs w:val="0"/>
      <w:em w:val="none"/>
    </w:rPr>
  </w:style>
  <w:style w:type="character" w:styleId="rvts13" w:customStyle="1">
    <w:name w:val="rvts13"/>
    <w:rPr>
      <w:w w:val="100"/>
      <w:position w:val="-1"/>
      <w:effect w:val="none"/>
      <w:vertAlign w:val="baseline"/>
      <w:cs w:val="0"/>
      <w:em w:val="none"/>
    </w:rPr>
  </w:style>
  <w:style w:type="paragraph" w:styleId="rvps1" w:customStyle="1">
    <w:name w:val="rvps1"/>
    <w:basedOn w:val="a"/>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rvts11" w:customStyle="1">
    <w:name w:val="rvts11"/>
    <w:rPr>
      <w:w w:val="100"/>
      <w:position w:val="-1"/>
      <w:effect w:val="none"/>
      <w:vertAlign w:val="baseline"/>
      <w:cs w:val="0"/>
      <w:em w:val="none"/>
    </w:rPr>
  </w:style>
  <w:style w:type="paragraph" w:styleId="rvps8" w:customStyle="1">
    <w:name w:val="rvps8"/>
    <w:basedOn w:val="a"/>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5">
    <w:name w:val="annotation reference"/>
    <w:qFormat w:val="1"/>
    <w:rPr>
      <w:w w:val="100"/>
      <w:position w:val="-1"/>
      <w:sz w:val="16"/>
      <w:szCs w:val="16"/>
      <w:effect w:val="none"/>
      <w:vertAlign w:val="baseline"/>
      <w:cs w:val="0"/>
      <w:em w:val="none"/>
    </w:rPr>
  </w:style>
  <w:style w:type="paragraph" w:styleId="a6">
    <w:name w:val="annotation text"/>
    <w:basedOn w:val="a"/>
    <w:qFormat w:val="1"/>
    <w:rPr>
      <w:sz w:val="20"/>
      <w:szCs w:val="20"/>
    </w:rPr>
  </w:style>
  <w:style w:type="character" w:styleId="a7" w:customStyle="1">
    <w:name w:val="Текст примітки Знак"/>
    <w:rPr>
      <w:w w:val="100"/>
      <w:position w:val="-1"/>
      <w:effect w:val="none"/>
      <w:vertAlign w:val="baseline"/>
      <w:cs w:val="0"/>
      <w:em w:val="none"/>
      <w:lang w:eastAsia="en-US" w:val="ru-RU"/>
    </w:rPr>
  </w:style>
  <w:style w:type="paragraph" w:styleId="a8">
    <w:name w:val="annotation subject"/>
    <w:basedOn w:val="a6"/>
    <w:next w:val="a6"/>
    <w:qFormat w:val="1"/>
    <w:rPr>
      <w:b w:val="1"/>
      <w:bCs w:val="1"/>
    </w:rPr>
  </w:style>
  <w:style w:type="character" w:styleId="a9" w:customStyle="1">
    <w:name w:val="Тема примітки Знак"/>
    <w:rPr>
      <w:b w:val="1"/>
      <w:bCs w:val="1"/>
      <w:w w:val="100"/>
      <w:position w:val="-1"/>
      <w:effect w:val="none"/>
      <w:vertAlign w:val="baseline"/>
      <w:cs w:val="0"/>
      <w:em w:val="none"/>
      <w:lang w:eastAsia="en-US" w:val="ru-RU"/>
    </w:rPr>
  </w:style>
  <w:style w:type="paragraph" w:styleId="aa">
    <w:name w:val="Balloon Text"/>
    <w:basedOn w:val="a"/>
    <w:qFormat w:val="1"/>
    <w:pPr>
      <w:spacing w:after="0" w:line="240" w:lineRule="auto"/>
    </w:pPr>
    <w:rPr>
      <w:rFonts w:ascii="Segoe UI" w:cs="Segoe UI" w:hAnsi="Segoe UI"/>
      <w:sz w:val="18"/>
      <w:szCs w:val="18"/>
    </w:rPr>
  </w:style>
  <w:style w:type="character" w:styleId="ab" w:customStyle="1">
    <w:name w:val="Текст у виносці Знак"/>
    <w:rPr>
      <w:rFonts w:ascii="Segoe UI" w:cs="Segoe UI" w:hAnsi="Segoe UI"/>
      <w:w w:val="100"/>
      <w:position w:val="-1"/>
      <w:sz w:val="18"/>
      <w:szCs w:val="18"/>
      <w:effect w:val="none"/>
      <w:vertAlign w:val="baseline"/>
      <w:cs w:val="0"/>
      <w:em w:val="none"/>
      <w:lang w:eastAsia="en-US" w:val="ru-RU"/>
    </w:r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d">
    <w:name w:val="header"/>
    <w:basedOn w:val="a"/>
    <w:link w:val="ae"/>
    <w:uiPriority w:val="99"/>
    <w:unhideWhenUsed w:val="1"/>
    <w:rsid w:val="009B7A64"/>
    <w:pPr>
      <w:tabs>
        <w:tab w:val="center" w:pos="4819"/>
        <w:tab w:val="right" w:pos="9639"/>
      </w:tabs>
      <w:spacing w:after="0" w:line="240" w:lineRule="auto"/>
    </w:pPr>
  </w:style>
  <w:style w:type="character" w:styleId="ae" w:customStyle="1">
    <w:name w:val="Верхній колонтитул Знак"/>
    <w:basedOn w:val="a0"/>
    <w:link w:val="ad"/>
    <w:uiPriority w:val="99"/>
    <w:rsid w:val="009B7A64"/>
    <w:rPr>
      <w:position w:val="-1"/>
      <w:sz w:val="22"/>
      <w:szCs w:val="22"/>
      <w:lang w:eastAsia="en-US" w:val="ru-RU"/>
    </w:rPr>
  </w:style>
  <w:style w:type="paragraph" w:styleId="af">
    <w:name w:val="footer"/>
    <w:basedOn w:val="a"/>
    <w:link w:val="af0"/>
    <w:uiPriority w:val="99"/>
    <w:unhideWhenUsed w:val="1"/>
    <w:rsid w:val="009B7A64"/>
    <w:pPr>
      <w:tabs>
        <w:tab w:val="center" w:pos="4819"/>
        <w:tab w:val="right" w:pos="9639"/>
      </w:tabs>
      <w:spacing w:after="0" w:line="240" w:lineRule="auto"/>
    </w:pPr>
  </w:style>
  <w:style w:type="character" w:styleId="af0" w:customStyle="1">
    <w:name w:val="Нижній колонтитул Знак"/>
    <w:basedOn w:val="a0"/>
    <w:link w:val="af"/>
    <w:uiPriority w:val="99"/>
    <w:rsid w:val="009B7A64"/>
    <w:rPr>
      <w:position w:val="-1"/>
      <w:sz w:val="22"/>
      <w:szCs w:val="22"/>
      <w:lang w:eastAsia="en-US"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akon.rada.gov.ua/laws/show/45-2013-%D0%BF#n12" TargetMode="External"/><Relationship Id="rId8" Type="http://schemas.openxmlformats.org/officeDocument/2006/relationships/hyperlink" Target="https://zakon.rada.gov.ua/laws/show/45-2013-%D0%BF#n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90maQGIEiumqbGr/pzwDivd0Q==">CgMxLjAyDmguMjZraWoweGxrNm1xOAByITFqWUhJVFBfMXJma1pNbjBNSm50MlpzenJ6bU9mekRXdA==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2025-03-14T08:36:00Z</dcterms:created>
  <dc:creator>Скоб Олександр Володимирович</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