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103E" w14:textId="77777777" w:rsidR="00E73A32" w:rsidRPr="00951CFB" w:rsidRDefault="00E73A32" w:rsidP="004C5B6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51CF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5BFFBC28" w14:textId="74C2DAD2" w:rsidR="00E10D15" w:rsidRPr="00951CFB" w:rsidRDefault="00E73A32" w:rsidP="004C5B6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51CFB">
        <w:rPr>
          <w:rFonts w:ascii="Times New Roman" w:hAnsi="Times New Roman" w:cs="Times New Roman"/>
          <w:sz w:val="20"/>
          <w:szCs w:val="20"/>
          <w:lang w:val="uk-UA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змінами))</w:t>
      </w:r>
    </w:p>
    <w:p w14:paraId="091534E9" w14:textId="3FD877E1" w:rsidR="00E73A32" w:rsidRPr="00951CFB" w:rsidRDefault="00E73A32" w:rsidP="004C5B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b/>
          <w:sz w:val="24"/>
          <w:szCs w:val="24"/>
          <w:lang w:val="uk-UA"/>
        </w:rPr>
        <w:t>Управління міжнародного співробітництва</w:t>
      </w:r>
      <w:r w:rsidR="005F27D7"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здійснює закупівлю: </w:t>
      </w:r>
      <w:r w:rsidR="006D2927" w:rsidRPr="006D2927">
        <w:rPr>
          <w:rStyle w:val="a3"/>
          <w:rFonts w:ascii="Times New Roman" w:hAnsi="Times New Roman" w:cs="Times New Roman"/>
          <w:sz w:val="24"/>
          <w:szCs w:val="24"/>
          <w:lang w:val="uk-UA"/>
        </w:rPr>
        <w:t>Послуги з письмового перекладу, код згідно з ДК 021:2015:79530000-8 Послуги з письмового перекладу</w:t>
      </w:r>
      <w:r w:rsidR="006D2927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Порядку здійснення </w:t>
      </w:r>
      <w:proofErr w:type="spellStart"/>
      <w:r w:rsidRPr="00951CF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у Національному агентстві з питань запобігання корупції, затвердженого наказом Національного агентства від 13.12.2023 № 294/23.</w:t>
      </w:r>
    </w:p>
    <w:p w14:paraId="3472424D" w14:textId="1D4A208E" w:rsidR="00E73A32" w:rsidRPr="00951CFB" w:rsidRDefault="00E73A32" w:rsidP="004C5B6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b/>
          <w:sz w:val="24"/>
          <w:szCs w:val="24"/>
          <w:lang w:val="uk-UA"/>
        </w:rPr>
        <w:t>1. Обґрунтування розміру бюджетного призначення</w:t>
      </w:r>
      <w:r w:rsidR="004C5B6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3B7E65A1" w14:textId="39FF85B3" w:rsidR="00E73A32" w:rsidRPr="00951CFB" w:rsidRDefault="00E73A32" w:rsidP="004C5B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Розмір бюджетного призначення для предмета закупівлі </w:t>
      </w:r>
      <w:r w:rsidR="006D2927" w:rsidRPr="006D2927">
        <w:rPr>
          <w:rStyle w:val="a3"/>
          <w:rFonts w:ascii="Times New Roman" w:hAnsi="Times New Roman" w:cs="Times New Roman"/>
          <w:sz w:val="24"/>
          <w:szCs w:val="24"/>
          <w:lang w:val="uk-UA"/>
        </w:rPr>
        <w:t>Послуги з письмового перекладу, код згідно з ДК 021:2015:79530000-8 Послуги з письмового перекладу</w:t>
      </w:r>
      <w:r w:rsidR="006D2927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1CFB">
        <w:rPr>
          <w:rFonts w:ascii="Times New Roman" w:hAnsi="Times New Roman" w:cs="Times New Roman"/>
          <w:sz w:val="24"/>
          <w:szCs w:val="24"/>
          <w:lang w:val="uk-UA"/>
        </w:rPr>
        <w:t>відповідає розрахунку видатків до кошторису на 202</w:t>
      </w:r>
      <w:r w:rsidR="00A94AF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 рік Національного агентства за КЕКВ 2240 — Оплата послуг (крім комунальних).</w:t>
      </w:r>
    </w:p>
    <w:p w14:paraId="2CF649EB" w14:textId="1E5C39DF" w:rsidR="00E73A32" w:rsidRPr="00951CFB" w:rsidRDefault="00E73A32" w:rsidP="004C5B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sz w:val="24"/>
          <w:szCs w:val="24"/>
          <w:lang w:val="uk-UA"/>
        </w:rPr>
        <w:t>2. Обґрунтування очікуваної вартості</w:t>
      </w:r>
      <w:r w:rsidR="004C5B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345B4C" w14:textId="4DC5E788" w:rsidR="00E73A32" w:rsidRPr="00951CFB" w:rsidRDefault="00E73A32" w:rsidP="004C5B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sz w:val="24"/>
          <w:szCs w:val="24"/>
          <w:lang w:val="uk-UA"/>
        </w:rPr>
        <w:t>2.1. 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6004DD" w:rsidRPr="00951CF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48AEB6A" w14:textId="4C6CC35A" w:rsidR="00E73A32" w:rsidRPr="00951CFB" w:rsidRDefault="00E73A32" w:rsidP="004C5B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sz w:val="24"/>
          <w:szCs w:val="24"/>
          <w:lang w:val="uk-UA"/>
        </w:rPr>
        <w:t>Очікувана вартість визначена</w:t>
      </w:r>
      <w:r w:rsidR="00EA60E5"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0E5" w:rsidRPr="00951CF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методом </w:t>
      </w:r>
      <w:r w:rsidR="00EA60E5"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порівняння ринкових цін відповідно до </w:t>
      </w:r>
      <w:r w:rsidR="00EA60E5" w:rsidRPr="00951CF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пункту 1 розділу III </w:t>
      </w:r>
      <w:r w:rsidR="00EA60E5"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Міністерства розвитку економіки, </w:t>
      </w:r>
      <w:r w:rsidR="00EA60E5" w:rsidRPr="00A94AFD">
        <w:rPr>
          <w:rFonts w:ascii="Times New Roman" w:hAnsi="Times New Roman" w:cs="Times New Roman"/>
          <w:sz w:val="24"/>
          <w:szCs w:val="24"/>
          <w:lang w:val="uk-UA"/>
        </w:rPr>
        <w:t>торгівлі та сільського господарства України від 18.02.2020 № 275 (зі змінами))</w:t>
      </w:r>
      <w:r w:rsidR="00EA60E5" w:rsidRPr="00A94AF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94AFD">
        <w:rPr>
          <w:rFonts w:ascii="Times New Roman" w:hAnsi="Times New Roman" w:cs="Times New Roman"/>
          <w:sz w:val="24"/>
          <w:szCs w:val="24"/>
          <w:lang w:val="uk-UA"/>
        </w:rPr>
        <w:t xml:space="preserve">та становить </w:t>
      </w:r>
      <w:r w:rsidR="00A94AFD" w:rsidRPr="00A94AFD">
        <w:rPr>
          <w:rStyle w:val="a3"/>
          <w:rFonts w:ascii="Times New Roman" w:hAnsi="Times New Roman" w:cs="Times New Roman"/>
          <w:sz w:val="24"/>
          <w:szCs w:val="24"/>
        </w:rPr>
        <w:t xml:space="preserve">270 161,00 </w:t>
      </w:r>
      <w:r w:rsidRPr="00A94AFD">
        <w:rPr>
          <w:rFonts w:ascii="Times New Roman" w:hAnsi="Times New Roman" w:cs="Times New Roman"/>
          <w:sz w:val="24"/>
          <w:szCs w:val="24"/>
          <w:lang w:val="uk-UA"/>
        </w:rPr>
        <w:t>грн, що</w:t>
      </w:r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розміру бюджетного призначення. </w:t>
      </w:r>
    </w:p>
    <w:p w14:paraId="1770CB95" w14:textId="6E30018B" w:rsidR="00EA60E5" w:rsidRPr="00951CFB" w:rsidRDefault="00EA60E5" w:rsidP="004C5B6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розрахунків очікувана вартість закупівлі становить: </w:t>
      </w:r>
      <w:r w:rsidR="00A94AFD" w:rsidRPr="00A94AFD">
        <w:rPr>
          <w:rStyle w:val="a3"/>
          <w:rFonts w:ascii="Times New Roman" w:hAnsi="Times New Roman" w:cs="Times New Roman"/>
          <w:sz w:val="24"/>
          <w:szCs w:val="24"/>
        </w:rPr>
        <w:t xml:space="preserve">270 161,00 </w:t>
      </w:r>
      <w:r w:rsidRPr="00951CFB">
        <w:rPr>
          <w:rFonts w:ascii="Times New Roman" w:hAnsi="Times New Roman" w:cs="Times New Roman"/>
          <w:b/>
          <w:sz w:val="24"/>
          <w:szCs w:val="24"/>
          <w:lang w:val="uk-UA"/>
        </w:rPr>
        <w:t>грн  з ПДВ.</w:t>
      </w:r>
    </w:p>
    <w:p w14:paraId="5716BB53" w14:textId="6652BC69" w:rsidR="00E73A32" w:rsidRPr="00951CFB" w:rsidRDefault="00E73A32" w:rsidP="004C5B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CFB">
        <w:rPr>
          <w:rFonts w:ascii="Times New Roman" w:hAnsi="Times New Roman" w:cs="Times New Roman"/>
          <w:sz w:val="24"/>
          <w:szCs w:val="24"/>
          <w:lang w:val="uk-UA"/>
        </w:rPr>
        <w:t>3. Обґрунтування технічних та якісних характеристик предмета закупівлі</w:t>
      </w:r>
      <w:r w:rsidR="004C5B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51C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8F8581" w14:textId="65C72BF0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Hlk59041524"/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Строк надання послуг: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дати укладання договору до 31 грудня 202</w:t>
      </w:r>
      <w:r w:rsidR="004C5B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bookmarkEnd w:id="0"/>
    <w:p w14:paraId="4F4299B2" w14:textId="77777777" w:rsidR="006D2927" w:rsidRPr="00C34E3C" w:rsidRDefault="002E30C9" w:rsidP="006D2927">
      <w:pPr>
        <w:pStyle w:val="a4"/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rPr>
          <w:sz w:val="24"/>
          <w:szCs w:val="24"/>
          <w:lang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Місце надання послуг: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Замовника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матеріалу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перекладу та доставка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рахунок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Виконавця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місцезнаходженням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Замовника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01103, м.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бульвар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Миколи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Міхновського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28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адресу</w:t>
      </w:r>
      <w:proofErr w:type="gram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електронної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пошти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Замовника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зазначену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розділі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14 </w:t>
      </w:r>
      <w:proofErr w:type="spellStart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="006D2927" w:rsidRPr="006D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Договору.</w:t>
      </w:r>
      <w:bookmarkStart w:id="1" w:name="_GoBack"/>
      <w:bookmarkEnd w:id="1"/>
    </w:p>
    <w:p w14:paraId="1F745ADF" w14:textId="1AB90822" w:rsidR="006D2927" w:rsidRPr="00951CFB" w:rsidRDefault="002E30C9" w:rsidP="006D292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Орієнтовний обсяг надання послуг: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4366D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90982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4366D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227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умовних сторінок, більш детально наведено у Таблиці 1. Обсяг послуг визначається Замовником відповідно до фактичної потреби. </w:t>
      </w:r>
    </w:p>
    <w:p w14:paraId="43013076" w14:textId="12C6A631" w:rsidR="00CB190A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Необхідні іноземні мови для надання послуг з письмового перекладу,</w:t>
      </w:r>
      <w:r w:rsidR="003A6993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загальний обсяг сторінок</w:t>
      </w:r>
      <w:r w:rsidR="00CB190A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BD7C91A" w14:textId="42514642" w:rsidR="002E30C9" w:rsidRPr="00951CFB" w:rsidRDefault="002E30C9" w:rsidP="006D2927">
      <w:pPr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Таблиця 1</w:t>
      </w:r>
    </w:p>
    <w:tbl>
      <w:tblPr>
        <w:tblW w:w="4999" w:type="pct"/>
        <w:tblLook w:val="00A0" w:firstRow="1" w:lastRow="0" w:firstColumn="1" w:lastColumn="0" w:noHBand="0" w:noVBand="0"/>
      </w:tblPr>
      <w:tblGrid>
        <w:gridCol w:w="784"/>
        <w:gridCol w:w="3468"/>
        <w:gridCol w:w="5091"/>
      </w:tblGrid>
      <w:tr w:rsidR="00951CFB" w:rsidRPr="00951CFB" w14:paraId="4FE0101D" w14:textId="77777777" w:rsidTr="004C5B60">
        <w:trPr>
          <w:cantSplit/>
          <w:trHeight w:val="5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C7CF" w14:textId="002BC64C" w:rsidR="002E30C9" w:rsidRPr="00951CFB" w:rsidRDefault="00907403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Обсяг п</w:t>
            </w:r>
            <w:r w:rsidR="002E30C9" w:rsidRPr="00951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ослуги з письмового перекладу</w:t>
            </w:r>
          </w:p>
        </w:tc>
      </w:tr>
      <w:tr w:rsidR="00951CFB" w:rsidRPr="00951CFB" w14:paraId="43B60F4E" w14:textId="77777777" w:rsidTr="004C5B60">
        <w:trPr>
          <w:cantSplit/>
          <w:trHeight w:val="1435"/>
        </w:trPr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05A10E" w14:textId="1E0062F7" w:rsidR="00936B0E" w:rsidRPr="00951CFB" w:rsidRDefault="00936B0E" w:rsidP="006D2927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5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 з/п</w:t>
            </w:r>
          </w:p>
          <w:p w14:paraId="262C4241" w14:textId="77777777" w:rsidR="00936B0E" w:rsidRPr="00951CFB" w:rsidRDefault="00936B0E" w:rsidP="004C5B60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14:paraId="31A75ECF" w14:textId="5AA9AF14" w:rsidR="00936B0E" w:rsidRPr="00951CFB" w:rsidRDefault="00936B0E" w:rsidP="004C5B60">
            <w:pPr>
              <w:ind w:firstLine="567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CFC31" w14:textId="24ED775F" w:rsidR="00936B0E" w:rsidRPr="00951CFB" w:rsidRDefault="00936B0E" w:rsidP="004C5B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Найменування послуг/ Перелік іноземних мов</w:t>
            </w:r>
          </w:p>
          <w:p w14:paraId="70251D8F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  <w:p w14:paraId="4D4F9C88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  <w:p w14:paraId="2A93F191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2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14A1" w14:textId="17FC9059" w:rsidR="00936B0E" w:rsidRPr="00951CFB" w:rsidRDefault="00936B0E" w:rsidP="004C5B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Загальний обсяг сторінок, де одиниця виміру перекладу з іноземної на українську або з української на іноземну (за 1860 символів з пробілами) – 1 сторінка</w:t>
            </w:r>
          </w:p>
        </w:tc>
      </w:tr>
      <w:tr w:rsidR="00951CFB" w:rsidRPr="00951CFB" w14:paraId="13B4EDF7" w14:textId="77777777" w:rsidTr="004C5B60">
        <w:trPr>
          <w:cantSplit/>
          <w:trHeight w:val="164"/>
        </w:trPr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676E4" w14:textId="75B64D95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6C0177" w14:textId="2CA47925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0F6A3" w14:textId="684B86BB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3</w:t>
            </w:r>
          </w:p>
        </w:tc>
      </w:tr>
      <w:tr w:rsidR="00951CFB" w:rsidRPr="00951CFB" w14:paraId="360E377F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9A6D" w14:textId="77777777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29D4" w14:textId="77777777" w:rsidR="00936B0E" w:rsidRPr="00951CFB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Англійська</w:t>
            </w:r>
          </w:p>
        </w:tc>
        <w:tc>
          <w:tcPr>
            <w:tcW w:w="280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5FADA3E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6803BAEC" w14:textId="77777777" w:rsidR="00936B0E" w:rsidRPr="00951CFB" w:rsidRDefault="00936B0E" w:rsidP="004C5B6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00FBD691" w14:textId="77777777" w:rsidR="00A94AFD" w:rsidRDefault="00A94AFD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0EB8EFA6" w14:textId="436B2875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1 227</w:t>
            </w:r>
          </w:p>
        </w:tc>
      </w:tr>
      <w:tr w:rsidR="00951CFB" w:rsidRPr="00951CFB" w14:paraId="3E06B403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3BBC" w14:textId="77777777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754A" w14:textId="1B304C8C" w:rsidR="00936B0E" w:rsidRPr="00951CFB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Німецька</w:t>
            </w:r>
          </w:p>
        </w:tc>
        <w:tc>
          <w:tcPr>
            <w:tcW w:w="2803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0705121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51CFB" w:rsidRPr="00951CFB" w14:paraId="2F4C4D0C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368F9" w14:textId="77777777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F020" w14:textId="77777777" w:rsidR="00936B0E" w:rsidRPr="00951CFB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Французька</w:t>
            </w:r>
          </w:p>
        </w:tc>
        <w:tc>
          <w:tcPr>
            <w:tcW w:w="2803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81EC308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51CFB" w:rsidRPr="00951CFB" w14:paraId="18AA4292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8AD31" w14:textId="77777777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8EADF" w14:textId="67D11563" w:rsidR="00936B0E" w:rsidRPr="00951CFB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Іспанська</w:t>
            </w:r>
          </w:p>
        </w:tc>
        <w:tc>
          <w:tcPr>
            <w:tcW w:w="2803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71C73E15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51CFB" w:rsidRPr="00951CFB" w14:paraId="570C4B0E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7D6F" w14:textId="51B9ADCA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D07C" w14:textId="313B5178" w:rsidR="00936B0E" w:rsidRPr="00951CFB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Італійська</w:t>
            </w:r>
          </w:p>
        </w:tc>
        <w:tc>
          <w:tcPr>
            <w:tcW w:w="280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58AEEC" w14:textId="77777777" w:rsidR="00936B0E" w:rsidRPr="00951CFB" w:rsidRDefault="00936B0E" w:rsidP="004C5B60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51CFB" w:rsidRPr="00951CFB" w14:paraId="407AD22F" w14:textId="77777777" w:rsidTr="004C5B60">
        <w:trPr>
          <w:cantSplit/>
          <w:trHeight w:val="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2D2D" w14:textId="357EF5FD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CB3" w14:textId="520FD189" w:rsidR="00936B0E" w:rsidRPr="00951CFB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Польська</w:t>
            </w:r>
          </w:p>
        </w:tc>
        <w:tc>
          <w:tcPr>
            <w:tcW w:w="280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A96AF17" w14:textId="77777777" w:rsidR="00936B0E" w:rsidRPr="00951CFB" w:rsidRDefault="00936B0E" w:rsidP="004C5B6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51CFB" w:rsidRPr="00951CFB" w14:paraId="7DF6CDC6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0AB6" w14:textId="0AA33C5E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0CA" w14:textId="6784DF1E" w:rsidR="00936B0E" w:rsidRPr="00951CFB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Грузинська</w:t>
            </w:r>
          </w:p>
        </w:tc>
        <w:tc>
          <w:tcPr>
            <w:tcW w:w="280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3ACC12" w14:textId="77777777" w:rsidR="00936B0E" w:rsidRPr="00951CFB" w:rsidRDefault="00936B0E" w:rsidP="004C5B6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51CFB" w:rsidRPr="00951CFB" w14:paraId="3519A35D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1913" w14:textId="107442FB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3F4" w14:textId="6F706A45" w:rsidR="00936B0E" w:rsidRPr="004B7143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4B71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Арабська </w:t>
            </w:r>
          </w:p>
        </w:tc>
        <w:tc>
          <w:tcPr>
            <w:tcW w:w="280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A3209D" w14:textId="77777777" w:rsidR="00936B0E" w:rsidRPr="00951CFB" w:rsidRDefault="00936B0E" w:rsidP="004C5B6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6B0E" w:rsidRPr="00951CFB" w14:paraId="29EDC66B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29B8" w14:textId="7B8E5141" w:rsidR="00936B0E" w:rsidRPr="00951CFB" w:rsidRDefault="00936B0E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51C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744" w14:textId="6799388E" w:rsidR="00936B0E" w:rsidRPr="004B7143" w:rsidRDefault="00936B0E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4B71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Латиська</w:t>
            </w:r>
          </w:p>
        </w:tc>
        <w:tc>
          <w:tcPr>
            <w:tcW w:w="280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2552FF" w14:textId="77777777" w:rsidR="00936B0E" w:rsidRPr="00951CFB" w:rsidRDefault="00936B0E" w:rsidP="004C5B6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4AFD" w:rsidRPr="00951CFB" w14:paraId="29306CDC" w14:textId="77777777" w:rsidTr="004C5B60">
        <w:trPr>
          <w:cantSplit/>
          <w:trHeight w:val="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074" w14:textId="46253997" w:rsidR="00A94AFD" w:rsidRPr="00951CFB" w:rsidRDefault="00A94AFD" w:rsidP="006D2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DA0" w14:textId="58D79428" w:rsidR="00A94AFD" w:rsidRPr="004B7143" w:rsidRDefault="00A94AFD" w:rsidP="006D2927">
            <w:pPr>
              <w:spacing w:after="0" w:line="100" w:lineRule="atLeast"/>
              <w:ind w:left="-109" w:firstLine="8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4B71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Чеська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743C9" w14:textId="77777777" w:rsidR="00A94AFD" w:rsidRPr="00951CFB" w:rsidRDefault="00A94AFD" w:rsidP="004C5B6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7EEF5479" w14:textId="77777777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889381" w14:textId="64163AEA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Одиницею виміру обсягу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перекладу є сторінка</w:t>
      </w:r>
      <w:r w:rsidR="00E20EC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тексту</w:t>
      </w:r>
      <w:r w:rsidR="008318B7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(1 860 друкованих знаків разом із пробілами)</w:t>
      </w:r>
      <w:r w:rsidR="00E20EC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потребує перекладу (крім випадків</w:t>
      </w:r>
      <w:r w:rsidR="008318B7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EC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її друковані знаки неможливо порахувати</w:t>
      </w:r>
      <w:r w:rsidR="00E75D42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такому разі підраховуються знаки сторінки перекладеного тексту</w:t>
      </w:r>
      <w:r w:rsidR="00E20EC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20EC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A6C2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Текст,</w:t>
      </w:r>
      <w:r w:rsidR="00E20EC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A6C28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обсягом менше однієї сторінки, оцінюється як одна сторінка.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підрахунку кількості сторінок (знаків) може використовуватися комп’ютерна програма підрахунку знаків.</w:t>
      </w:r>
    </w:p>
    <w:p w14:paraId="188F9BD9" w14:textId="387C9D77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 письмового перекладу надаються з іноземної на українську та/або з української на іноземну мову.</w:t>
      </w:r>
    </w:p>
    <w:p w14:paraId="1FB1AC75" w14:textId="7ABF0A79" w:rsidR="00AD5DB8" w:rsidRPr="00951CFB" w:rsidRDefault="00AD5DB8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Тендерна пропозиція Учасника, в якій відсутні відомості з перекладу на/з одну (однієї) з мов, визначених у Таблиці 1, буде вважатися такою, що не відповідає </w:t>
      </w:r>
      <w:r w:rsidR="00C95799" w:rsidRPr="00951C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умовам технічної</w:t>
      </w:r>
      <w:r w:rsidR="00790982" w:rsidRPr="00951C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C95799" w:rsidRPr="00951C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специфікації та іншим вимогам щодо предмета закупівлі тендерної документації, крім невідповідності в інформації та/або документах, що може бути усунена учасником процедури закупівлі відповідно до</w:t>
      </w:r>
      <w:r w:rsidR="00EB30CD" w:rsidRPr="00951C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hyperlink r:id="rId5" w:anchor="n588" w:history="1">
        <w:r w:rsidR="00C95799" w:rsidRPr="00951CFB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uk-UA"/>
          </w:rPr>
          <w:t>пункту 43</w:t>
        </w:r>
      </w:hyperlink>
      <w:r w:rsidR="00EB30CD" w:rsidRPr="00951C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C95799" w:rsidRPr="00951C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особливостей</w:t>
      </w:r>
      <w:r w:rsidR="00C95799"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буде відхилена.</w:t>
      </w:r>
    </w:p>
    <w:p w14:paraId="27F0E63D" w14:textId="77777777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Інформація, що надається Замовником для перекладу, є конфіденційною. </w:t>
      </w:r>
    </w:p>
    <w:p w14:paraId="5FBD78BE" w14:textId="33E8D897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Строк надання 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ослуг 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письмового перекладу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передання їх результату Замовнику встановлюється в рамках одного замовлення 1 (один) робочий день з моменту передачі матеріалів Виконавцю для обсягу, що не перевищує 8 (восьми) умовних сторінок. Одну умовну сторінку складають </w:t>
      </w:r>
      <w:r w:rsidR="00860535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1860 знаків з пробілами сторінки тексту, що потребує перекладу (крім випадків коли її друковані знаки неможливо порахувати</w:t>
      </w:r>
      <w:r w:rsidR="00E75D42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такому разі підраховуються знаки сторінки перекладеного тексту</w:t>
      </w:r>
      <w:r w:rsidR="00860535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60535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Текст, обсягом менше однієї сторінки, оцінюється як одна сторінка. Для підрахунку кількості сторінок (знаків) може використовуватися комп’ютерна програма підрахунку знаків.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необхідності, залежно від обсягу перекладу, строк надання 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ослуг може бути додатково узгоджений між Замовником та Виконавцем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шляхом обміну 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листами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адреси електронн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пошт Сторін, 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визначені в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 метою скорочення строків надання </w:t>
      </w:r>
      <w:r w:rsidR="00BC4B9B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ослуг, Виконавець може залучати до виконання перекладу декілька перекладачів в рамках одного замовлення на умовах розподілу матеріалу, наданого Замовником для перекладу, на частини, не порушуючи його смислову цілісність.</w:t>
      </w:r>
      <w:r w:rsidR="00072554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</w:t>
      </w:r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термінового</w:t>
      </w:r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перекладу текстів</w:t>
      </w:r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зміна ціни перекладу не застосовується</w:t>
      </w:r>
      <w:r w:rsidR="008243F7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2CDEEEA" w14:textId="65891459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текстів для перекладу та доставка готового перекладу здійснюється за рахунок Виконавця за місцезнаходженням Замовника</w:t>
      </w:r>
      <w:r w:rsidR="00942CF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(01103, Україна, м. Київ, бульвар Миколи Міхновського, 28)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Переклад обов’язково надається в електронному варіанті шляхом надсилання на електронну адресу Замовника або передачі на електронному носії.</w:t>
      </w:r>
    </w:p>
    <w:p w14:paraId="31532AFA" w14:textId="0426CC59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Вартість пропозиції Учасника повинна включати: комп’ютерний набір текстів; друк на лазерному принтері </w:t>
      </w:r>
      <w:r w:rsidR="008243F7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такої кількості примірників, скільки замовить Замовник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виготовлення електронних копій для передачі Замовнику; засвідчення підписами та печаткою </w:t>
      </w:r>
      <w:bookmarkStart w:id="2" w:name="_Hlk61347760"/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її наявності)</w:t>
      </w:r>
      <w:bookmarkEnd w:id="2"/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нотаріальне посвідчення; транспортні витрати </w:t>
      </w:r>
      <w:r w:rsidR="008243F7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місця </w:t>
      </w:r>
      <w:r w:rsidR="008243F7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передачі результатів послуг з письмового перекладу, податків і зборів, та інших витрат, понесених Учасником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EA4737D" w14:textId="77777777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Показники якості письмового перекладу: </w:t>
      </w:r>
    </w:p>
    <w:p w14:paraId="65EF7BDE" w14:textId="29581156" w:rsidR="002E30C9" w:rsidRPr="00951CFB" w:rsidRDefault="002E30C9" w:rsidP="004C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переклад здійснюється перекладачем, кваліфікацію</w:t>
      </w:r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спеціалізацію</w:t>
      </w:r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3" w:name="_Hlk157418056"/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досвід </w:t>
      </w:r>
      <w:bookmarkEnd w:id="3"/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якого підтверджено належними документами</w:t>
      </w:r>
      <w:r w:rsidR="00EB30CD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поданими в складі тендерної пропозиції Учасника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F6FDE59" w14:textId="4727EF92" w:rsidR="002E30C9" w:rsidRPr="00951CFB" w:rsidRDefault="002E30C9" w:rsidP="004C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переклад відповідає</w:t>
      </w:r>
      <w:r w:rsidR="006A43FC" w:rsidRPr="00951CFB">
        <w:t xml:space="preserve"> </w:t>
      </w:r>
      <w:r w:rsidR="006A43FC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вимогам Замовника та відповідає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початковому тексту за змістом, суттю та оформленням;</w:t>
      </w:r>
    </w:p>
    <w:p w14:paraId="71B1C8FB" w14:textId="77777777" w:rsidR="002E30C9" w:rsidRPr="00951CFB" w:rsidRDefault="002E30C9" w:rsidP="004C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переклад не містить граматичних, орфографічних і пунктуаційних помилок;</w:t>
      </w:r>
    </w:p>
    <w:p w14:paraId="4C783E6B" w14:textId="77777777" w:rsidR="002E30C9" w:rsidRPr="00951CFB" w:rsidRDefault="002E30C9" w:rsidP="004C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термінологія перекладу відповідає галузевій належності початкового тексту (правова тематика);</w:t>
      </w:r>
    </w:p>
    <w:p w14:paraId="3BFF64D0" w14:textId="77777777" w:rsidR="002E30C9" w:rsidRPr="00951CFB" w:rsidRDefault="002E30C9" w:rsidP="004C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перекладі перекладачі дотримуються одноманітності термінів, найменувань, умовних позначень, скорочень, символів;</w:t>
      </w:r>
    </w:p>
    <w:p w14:paraId="4FCB6683" w14:textId="7248F87B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забороняється використання</w:t>
      </w:r>
      <w:r w:rsidR="00F11BDA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перекладачем 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 машинного перекладу текстів, крім спеціалізованого ліцензійного перекладацького програмно</w:t>
      </w:r>
      <w:r w:rsidR="00A47AD3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 забезпечення (</w:t>
      </w:r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</w:t>
      </w:r>
      <w:r w:rsidR="00F11BDA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="007129C9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наприклад </w:t>
      </w:r>
      <w:proofErr w:type="spellStart"/>
      <w:r w:rsidR="00A47AD3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MemoQ</w:t>
      </w:r>
      <w:proofErr w:type="spellEnd"/>
      <w:r w:rsidR="00A47AD3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A47AD3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Trados</w:t>
      </w:r>
      <w:proofErr w:type="spellEnd"/>
      <w:r w:rsidR="00A47AD3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(про що Учасником подається лист-гарантія в складі пропозиції).</w:t>
      </w:r>
    </w:p>
    <w:p w14:paraId="49289F75" w14:textId="51D00402" w:rsidR="002E30C9" w:rsidRPr="00951CFB" w:rsidRDefault="002E30C9" w:rsidP="004C5B6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Перекладачі, які залучаються до надання послуг, мають знати та застосовувати при виконанні перекладів</w:t>
      </w:r>
      <w:r w:rsidR="006A43FC"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міжнародні та національні стандарти в галузі перекладів, що діють на території України</w:t>
      </w:r>
      <w:r w:rsidRPr="0095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2E30C9" w:rsidRPr="00951CFB" w:rsidSect="004C5B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5ABA"/>
    <w:multiLevelType w:val="hybridMultilevel"/>
    <w:tmpl w:val="CF84B2C4"/>
    <w:lvl w:ilvl="0" w:tplc="5F4C3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CA4817"/>
    <w:multiLevelType w:val="hybridMultilevel"/>
    <w:tmpl w:val="C39E393A"/>
    <w:lvl w:ilvl="0" w:tplc="83524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15"/>
    <w:rsid w:val="00057769"/>
    <w:rsid w:val="00072554"/>
    <w:rsid w:val="00110A0D"/>
    <w:rsid w:val="0015154E"/>
    <w:rsid w:val="001857FB"/>
    <w:rsid w:val="001A1F8D"/>
    <w:rsid w:val="002A6C28"/>
    <w:rsid w:val="002E30C9"/>
    <w:rsid w:val="00352C88"/>
    <w:rsid w:val="00385333"/>
    <w:rsid w:val="003A6993"/>
    <w:rsid w:val="004B7143"/>
    <w:rsid w:val="004C5B60"/>
    <w:rsid w:val="005F27D7"/>
    <w:rsid w:val="006004DD"/>
    <w:rsid w:val="006A43FC"/>
    <w:rsid w:val="006D2927"/>
    <w:rsid w:val="007129C9"/>
    <w:rsid w:val="00790982"/>
    <w:rsid w:val="007E1EB3"/>
    <w:rsid w:val="008243F7"/>
    <w:rsid w:val="008318B7"/>
    <w:rsid w:val="00860535"/>
    <w:rsid w:val="00907403"/>
    <w:rsid w:val="00936B0E"/>
    <w:rsid w:val="00942CF9"/>
    <w:rsid w:val="00951CFB"/>
    <w:rsid w:val="00953A95"/>
    <w:rsid w:val="00967C6D"/>
    <w:rsid w:val="009E5E65"/>
    <w:rsid w:val="00A22188"/>
    <w:rsid w:val="00A47AD3"/>
    <w:rsid w:val="00A7624D"/>
    <w:rsid w:val="00A94AFD"/>
    <w:rsid w:val="00AD5DB8"/>
    <w:rsid w:val="00B17D89"/>
    <w:rsid w:val="00BC4B9B"/>
    <w:rsid w:val="00C56992"/>
    <w:rsid w:val="00C67159"/>
    <w:rsid w:val="00C95799"/>
    <w:rsid w:val="00CB190A"/>
    <w:rsid w:val="00E10D15"/>
    <w:rsid w:val="00E20EC8"/>
    <w:rsid w:val="00E73A32"/>
    <w:rsid w:val="00E75D42"/>
    <w:rsid w:val="00EA60E5"/>
    <w:rsid w:val="00EB30CD"/>
    <w:rsid w:val="00F11BDA"/>
    <w:rsid w:val="00F4366D"/>
    <w:rsid w:val="00F51D6E"/>
    <w:rsid w:val="00F53F5A"/>
    <w:rsid w:val="00F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F03C"/>
  <w15:chartTrackingRefBased/>
  <w15:docId w15:val="{70F502BF-8C72-4822-A850-B3161C3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A32"/>
    <w:rPr>
      <w:b/>
      <w:bCs/>
    </w:rPr>
  </w:style>
  <w:style w:type="paragraph" w:styleId="a4">
    <w:name w:val="List Paragraph"/>
    <w:aliases w:val="название табл/рис,заголовок 1.1,Chapter10,List Paragraph,Список уровня 2,Bullet Number,Bullet 1,Use Case List Paragraph,lp1,List Paragraph1,lp11,List Paragraph11,List Paragraph (numbered (a)),Elenco Normale,AC List 01,Number Bullets"/>
    <w:basedOn w:val="a"/>
    <w:link w:val="a5"/>
    <w:uiPriority w:val="99"/>
    <w:qFormat/>
    <w:rsid w:val="00E73A3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5799"/>
    <w:rPr>
      <w:color w:val="0000FF"/>
      <w:u w:val="single"/>
    </w:rPr>
  </w:style>
  <w:style w:type="character" w:customStyle="1" w:styleId="a5">
    <w:name w:val="Абзац списку Знак"/>
    <w:aliases w:val="название табл/рис Знак,заголовок 1.1 Знак,Chapter10 Знак,List Paragraph Знак,Список уровня 2 Знак,Bullet Number Знак,Bullet 1 Знак,Use Case List Paragraph Знак,lp1 Знак,List Paragraph1 Знак,lp11 Знак,List Paragraph11 Знак"/>
    <w:link w:val="a4"/>
    <w:uiPriority w:val="99"/>
    <w:qFormat/>
    <w:rsid w:val="006D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78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Марія Романівна</dc:creator>
  <cp:keywords/>
  <dc:description/>
  <cp:lastModifiedBy>Мартиненко Інна Євгеніївна</cp:lastModifiedBy>
  <cp:revision>20</cp:revision>
  <dcterms:created xsi:type="dcterms:W3CDTF">2024-01-23T11:06:00Z</dcterms:created>
  <dcterms:modified xsi:type="dcterms:W3CDTF">2025-02-27T13:38:00Z</dcterms:modified>
</cp:coreProperties>
</file>